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D6" w:rsidRDefault="009B5E18" w:rsidP="00950A7B">
      <w:pPr>
        <w:jc w:val="center"/>
        <w:rPr>
          <w:rFonts w:ascii="Arial Black" w:hAnsi="Arial Black"/>
          <w:b/>
        </w:rPr>
      </w:pPr>
      <w:r>
        <w:rPr>
          <w:rFonts w:ascii="Arial Black" w:hAnsi="Arial Black"/>
          <w:b/>
        </w:rPr>
        <w:t xml:space="preserve">10-QUESTION </w:t>
      </w:r>
      <w:r w:rsidR="00A70B0B" w:rsidRPr="00A70B0B">
        <w:rPr>
          <w:rFonts w:ascii="Arial Black" w:hAnsi="Arial Black"/>
          <w:b/>
        </w:rPr>
        <w:t>QUIZ</w:t>
      </w:r>
      <w:r w:rsidR="00FD0251">
        <w:rPr>
          <w:rFonts w:ascii="Arial Black" w:hAnsi="Arial Black"/>
          <w:b/>
        </w:rPr>
        <w:t>: BORN TO DIE</w:t>
      </w:r>
    </w:p>
    <w:p w:rsidR="00B67B9F" w:rsidRDefault="00B67B9F"/>
    <w:p w:rsidR="00B67B9F" w:rsidRPr="00B67B9F" w:rsidRDefault="0051479E" w:rsidP="009F696D">
      <w:r>
        <w:t xml:space="preserve">Anyone may </w:t>
      </w:r>
      <w:r w:rsidR="00D60939">
        <w:t>duplicate</w:t>
      </w:r>
      <w:r>
        <w:t xml:space="preserve"> </w:t>
      </w:r>
      <w:r w:rsidR="00FE209D">
        <w:t>all or</w:t>
      </w:r>
      <w:r w:rsidR="009F696D">
        <w:t xml:space="preserve"> part of </w:t>
      </w:r>
      <w:r>
        <w:t>the material in this quiz</w:t>
      </w:r>
      <w:r w:rsidR="00D60939">
        <w:t xml:space="preserve"> by any means</w:t>
      </w:r>
      <w:r w:rsidR="00865BD9">
        <w:t>,</w:t>
      </w:r>
      <w:r>
        <w:t xml:space="preserve"> </w:t>
      </w:r>
      <w:r w:rsidR="00573C22">
        <w:t>if</w:t>
      </w:r>
      <w:r w:rsidR="00847CD5">
        <w:t xml:space="preserve"> they </w:t>
      </w:r>
      <w:r w:rsidR="009F696D">
        <w:t>credit</w:t>
      </w:r>
      <w:r w:rsidR="00847CD5">
        <w:t xml:space="preserve"> </w:t>
      </w:r>
      <w:r w:rsidR="003D0E73">
        <w:t xml:space="preserve">the source </w:t>
      </w:r>
      <w:r w:rsidR="00683768">
        <w:t>of the information as the book</w:t>
      </w:r>
      <w:r w:rsidR="00FE209D">
        <w:t>,</w:t>
      </w:r>
      <w:r w:rsidR="009F696D">
        <w:t xml:space="preserve"> </w:t>
      </w:r>
      <w:r w:rsidRPr="00573C22">
        <w:rPr>
          <w:i/>
        </w:rPr>
        <w:t>Born to Die</w:t>
      </w:r>
      <w:r w:rsidR="003D0E73">
        <w:t xml:space="preserve">, </w:t>
      </w:r>
      <w:r>
        <w:t>by Chuck Bagby, published</w:t>
      </w:r>
      <w:r w:rsidR="00EC75B0">
        <w:t xml:space="preserve"> by Burning Heart Bible Studies (</w:t>
      </w:r>
      <w:hyperlink r:id="rId8" w:history="1">
        <w:r w:rsidRPr="008D49B9">
          <w:rPr>
            <w:rStyle w:val="Hyperlink"/>
            <w:u w:val="none"/>
          </w:rPr>
          <w:t>www.BurningHeartBibleStudies.com</w:t>
        </w:r>
      </w:hyperlink>
      <w:r w:rsidR="00EC75B0">
        <w:t>).</w:t>
      </w:r>
    </w:p>
    <w:p w:rsidR="00B67B9F" w:rsidRDefault="00B67B9F"/>
    <w:p w:rsidR="000D2DD6" w:rsidRDefault="00415FB0" w:rsidP="004710A2">
      <w:pPr>
        <w:pStyle w:val="ListParagraph"/>
        <w:numPr>
          <w:ilvl w:val="0"/>
          <w:numId w:val="1"/>
        </w:numPr>
        <w:spacing w:line="276" w:lineRule="auto"/>
      </w:pPr>
      <w:r>
        <w:t xml:space="preserve">QUESTION: </w:t>
      </w:r>
      <w:r w:rsidR="00EF5F1B">
        <w:t>What family relationship did Elizabeth have with Mary?</w:t>
      </w:r>
    </w:p>
    <w:p w:rsidR="00415FB0" w:rsidRDefault="00415FB0" w:rsidP="004710A2">
      <w:pPr>
        <w:spacing w:line="276" w:lineRule="auto"/>
        <w:ind w:left="360"/>
      </w:pPr>
      <w:r>
        <w:t>ANSWER:</w:t>
      </w:r>
      <w:r w:rsidR="0085776A">
        <w:t xml:space="preserve"> </w:t>
      </w:r>
      <w:r w:rsidR="00961AD9">
        <w:t>(</w:t>
      </w:r>
      <w:r w:rsidR="0085776A">
        <w:t xml:space="preserve">See </w:t>
      </w:r>
      <w:r w:rsidR="0085776A" w:rsidRPr="0085776A">
        <w:rPr>
          <w:i/>
        </w:rPr>
        <w:t>Born to Die</w:t>
      </w:r>
      <w:r w:rsidR="0085776A">
        <w:t xml:space="preserve">, subheading </w:t>
      </w:r>
      <w:r w:rsidR="0085776A" w:rsidRPr="0085776A">
        <w:rPr>
          <w:i/>
        </w:rPr>
        <w:t>Daring Character</w:t>
      </w:r>
      <w:r w:rsidR="0085776A">
        <w:t>, page 32</w:t>
      </w:r>
      <w:r w:rsidR="006903C2">
        <w:t>, footnote 161.</w:t>
      </w:r>
      <w:r w:rsidR="00961AD9">
        <w:t>)</w:t>
      </w:r>
    </w:p>
    <w:p w:rsidR="00D725AC" w:rsidRDefault="00C87AF1" w:rsidP="004710A2">
      <w:pPr>
        <w:pStyle w:val="ListParagraph"/>
        <w:numPr>
          <w:ilvl w:val="1"/>
          <w:numId w:val="1"/>
        </w:numPr>
        <w:spacing w:line="276" w:lineRule="auto"/>
      </w:pPr>
      <w:r>
        <w:t>The Scriptures never clarify the family relations</w:t>
      </w:r>
      <w:r w:rsidR="00D725AC">
        <w:t>hip between Mary and Elizabeth.</w:t>
      </w:r>
    </w:p>
    <w:p w:rsidR="006D6FFE" w:rsidRDefault="006D6FFE" w:rsidP="004710A2">
      <w:pPr>
        <w:pStyle w:val="ListParagraph"/>
        <w:numPr>
          <w:ilvl w:val="1"/>
          <w:numId w:val="1"/>
        </w:numPr>
        <w:spacing w:line="276" w:lineRule="auto"/>
      </w:pPr>
      <w:r>
        <w:t xml:space="preserve">The Greek word </w:t>
      </w:r>
      <w:r w:rsidRPr="00C87AF1">
        <w:rPr>
          <w:i/>
        </w:rPr>
        <w:t>sunggenís</w:t>
      </w:r>
      <w:r w:rsidRPr="00C87AF1">
        <w:rPr>
          <w:rFonts w:ascii="PCSB Greek" w:hAnsi="PCSB Greek"/>
        </w:rPr>
        <w:t xml:space="preserve"> </w:t>
      </w:r>
      <w:r>
        <w:t>(s</w:t>
      </w:r>
      <w:r w:rsidRPr="00E01F78">
        <w:t>ü</w:t>
      </w:r>
      <w:r>
        <w:t>ng-g</w:t>
      </w:r>
      <w:r w:rsidRPr="00E01F78">
        <w:t>ĕ</w:t>
      </w:r>
      <w:r>
        <w:t>n-</w:t>
      </w:r>
      <w:r w:rsidRPr="00235B4C">
        <w:t>ĭ́</w:t>
      </w:r>
      <w:r>
        <w:t>s),</w:t>
      </w:r>
      <w:r w:rsidR="001576FC">
        <w:rPr>
          <w:rStyle w:val="FootnoteReference"/>
        </w:rPr>
        <w:footnoteReference w:id="1"/>
      </w:r>
      <w:r>
        <w:t xml:space="preserve"> used by the angel in Luke 1:36 to refer to Elizabeth’s relationship to Mary, means “female blood-relative,” not cousin or aunt as </w:t>
      </w:r>
      <w:r w:rsidR="00621FDD">
        <w:t xml:space="preserve">erroneously </w:t>
      </w:r>
      <w:r>
        <w:t xml:space="preserve">rendered by some translations. </w:t>
      </w:r>
    </w:p>
    <w:p w:rsidR="008522EC" w:rsidRDefault="00415FB0" w:rsidP="004710A2">
      <w:pPr>
        <w:pStyle w:val="ListParagraph"/>
        <w:numPr>
          <w:ilvl w:val="0"/>
          <w:numId w:val="1"/>
        </w:numPr>
        <w:spacing w:line="276" w:lineRule="auto"/>
      </w:pPr>
      <w:r>
        <w:t xml:space="preserve">QUESTION: </w:t>
      </w:r>
      <w:r w:rsidR="00D725AC">
        <w:t>At what age did</w:t>
      </w:r>
      <w:r w:rsidR="008522EC">
        <w:t xml:space="preserve"> Joseph and Mary </w:t>
      </w:r>
      <w:r w:rsidR="00D725AC">
        <w:t>become</w:t>
      </w:r>
      <w:r w:rsidR="008522EC">
        <w:t xml:space="preserve"> engaged?</w:t>
      </w:r>
    </w:p>
    <w:p w:rsidR="00F43179" w:rsidRDefault="00F43179" w:rsidP="004710A2">
      <w:pPr>
        <w:spacing w:line="276" w:lineRule="auto"/>
        <w:ind w:left="1530" w:hanging="1170"/>
      </w:pPr>
      <w:r>
        <w:t>ANSWER:</w:t>
      </w:r>
      <w:r w:rsidR="00022CB0" w:rsidRPr="00022CB0">
        <w:t xml:space="preserve"> </w:t>
      </w:r>
      <w:r w:rsidR="00022CB0">
        <w:t xml:space="preserve">(See </w:t>
      </w:r>
      <w:r w:rsidR="00022CB0" w:rsidRPr="0085776A">
        <w:rPr>
          <w:i/>
        </w:rPr>
        <w:t>Born to Die</w:t>
      </w:r>
      <w:r w:rsidR="00022CB0">
        <w:t xml:space="preserve">, subheading </w:t>
      </w:r>
      <w:r w:rsidR="00022CB0">
        <w:rPr>
          <w:i/>
        </w:rPr>
        <w:t>Mary Was Engaged to Joseph</w:t>
      </w:r>
      <w:r w:rsidR="00022CB0">
        <w:t>, page 3</w:t>
      </w:r>
      <w:r w:rsidR="00753EA5">
        <w:t>9</w:t>
      </w:r>
      <w:r w:rsidR="00022CB0">
        <w:t>, footnote 203.)</w:t>
      </w:r>
    </w:p>
    <w:p w:rsidR="00F43D53" w:rsidRDefault="004836F9" w:rsidP="004710A2">
      <w:pPr>
        <w:pStyle w:val="ListParagraph"/>
        <w:numPr>
          <w:ilvl w:val="1"/>
          <w:numId w:val="1"/>
        </w:numPr>
        <w:spacing w:line="276" w:lineRule="auto"/>
      </w:pPr>
      <w:r>
        <w:t>T</w:t>
      </w:r>
      <w:r w:rsidRPr="00450638">
        <w:t>he Scriptures do not specify the age</w:t>
      </w:r>
      <w:r w:rsidR="00F43D53">
        <w:t xml:space="preserve"> at which Mary or Joseph became engaged.</w:t>
      </w:r>
    </w:p>
    <w:p w:rsidR="00F43D53" w:rsidRDefault="004836F9" w:rsidP="004710A2">
      <w:pPr>
        <w:pStyle w:val="ListParagraph"/>
        <w:numPr>
          <w:ilvl w:val="1"/>
          <w:numId w:val="1"/>
        </w:numPr>
        <w:spacing w:line="276" w:lineRule="auto"/>
      </w:pPr>
      <w:r>
        <w:t>S</w:t>
      </w:r>
      <w:r w:rsidRPr="00450638">
        <w:t>uch marriage engagements typically took place when about eighteen years old.</w:t>
      </w:r>
      <w:r>
        <w:rPr>
          <w:rStyle w:val="FootnoteReference"/>
        </w:rPr>
        <w:footnoteReference w:id="2"/>
      </w:r>
    </w:p>
    <w:p w:rsidR="008522EC" w:rsidRDefault="004836F9" w:rsidP="004710A2">
      <w:pPr>
        <w:pStyle w:val="ListParagraph"/>
        <w:numPr>
          <w:ilvl w:val="1"/>
          <w:numId w:val="1"/>
        </w:numPr>
        <w:spacing w:line="276" w:lineRule="auto"/>
      </w:pPr>
      <w:r w:rsidRPr="00450638">
        <w:t>Ten or twelve months usually passed between the time a couple officially promised themselves to one another and the wedding celebration.</w:t>
      </w:r>
    </w:p>
    <w:p w:rsidR="003816C0" w:rsidRDefault="00415FB0" w:rsidP="004710A2">
      <w:pPr>
        <w:pStyle w:val="ListParagraph"/>
        <w:numPr>
          <w:ilvl w:val="0"/>
          <w:numId w:val="1"/>
        </w:numPr>
        <w:spacing w:line="276" w:lineRule="auto"/>
      </w:pPr>
      <w:r>
        <w:t xml:space="preserve">QUESTION: </w:t>
      </w:r>
      <w:r w:rsidR="003816C0">
        <w:t xml:space="preserve">How long had Joseph and Mary been married when they </w:t>
      </w:r>
      <w:r w:rsidR="00F43D53">
        <w:t>traveled to Bethlehem from Nazareth</w:t>
      </w:r>
      <w:r w:rsidR="003816C0">
        <w:t>?</w:t>
      </w:r>
    </w:p>
    <w:p w:rsidR="00161B67" w:rsidRDefault="00161B67" w:rsidP="004710A2">
      <w:pPr>
        <w:spacing w:line="276" w:lineRule="auto"/>
        <w:ind w:left="360"/>
      </w:pPr>
      <w:r>
        <w:t>ANSWER:</w:t>
      </w:r>
      <w:r w:rsidR="00FE7788" w:rsidRPr="00FE7788">
        <w:t xml:space="preserve"> </w:t>
      </w:r>
      <w:r w:rsidR="00FE7788">
        <w:t xml:space="preserve">(See </w:t>
      </w:r>
      <w:r w:rsidR="00FE7788" w:rsidRPr="0085776A">
        <w:rPr>
          <w:i/>
        </w:rPr>
        <w:t>Born to Die</w:t>
      </w:r>
      <w:r w:rsidR="00FE7788">
        <w:t xml:space="preserve">, subheading </w:t>
      </w:r>
      <w:r w:rsidR="00FE7788">
        <w:rPr>
          <w:i/>
        </w:rPr>
        <w:t>Census</w:t>
      </w:r>
      <w:r w:rsidR="00FE7788">
        <w:t>, page 70.)</w:t>
      </w:r>
    </w:p>
    <w:p w:rsidR="00D978A3" w:rsidRDefault="00A86BBC" w:rsidP="004710A2">
      <w:pPr>
        <w:pStyle w:val="ListParagraph"/>
        <w:numPr>
          <w:ilvl w:val="1"/>
          <w:numId w:val="1"/>
        </w:numPr>
        <w:spacing w:line="276" w:lineRule="auto"/>
      </w:pPr>
      <w:r w:rsidRPr="00450638">
        <w:t xml:space="preserve">Luke disclosed that Joseph and Mary </w:t>
      </w:r>
      <w:r>
        <w:t>remained</w:t>
      </w:r>
      <w:r w:rsidRPr="00450638">
        <w:t xml:space="preserve"> engaged</w:t>
      </w:r>
      <w:r w:rsidR="00D978A3">
        <w:t>, not yet married,</w:t>
      </w:r>
      <w:r w:rsidRPr="00450638">
        <w:t xml:space="preserve"> when they left Nazareth</w:t>
      </w:r>
      <w:r w:rsidR="00D978A3">
        <w:t xml:space="preserve"> to travel to Bethlehem</w:t>
      </w:r>
      <w:r w:rsidR="00CC0532">
        <w:t xml:space="preserve"> (Luke 2:5)</w:t>
      </w:r>
      <w:r w:rsidR="00D978A3">
        <w:t>.</w:t>
      </w:r>
    </w:p>
    <w:p w:rsidR="00CB2F51" w:rsidRDefault="00A86BBC" w:rsidP="004710A2">
      <w:pPr>
        <w:pStyle w:val="ListParagraph"/>
        <w:numPr>
          <w:ilvl w:val="1"/>
          <w:numId w:val="1"/>
        </w:numPr>
        <w:spacing w:line="276" w:lineRule="auto"/>
      </w:pPr>
      <w:r w:rsidRPr="00450638">
        <w:t xml:space="preserve">Nevertheless, </w:t>
      </w:r>
      <w:r w:rsidR="00A47F46">
        <w:t xml:space="preserve">while they traveled, </w:t>
      </w:r>
      <w:r w:rsidRPr="00450638">
        <w:t xml:space="preserve">Joseph cared for Mary and the unborn Child as a loving husband and father </w:t>
      </w:r>
      <w:r w:rsidR="005D016A">
        <w:t>should</w:t>
      </w:r>
      <w:r w:rsidRPr="00450638">
        <w:t>.</w:t>
      </w:r>
    </w:p>
    <w:p w:rsidR="005918AC" w:rsidRDefault="00415FB0" w:rsidP="004710A2">
      <w:pPr>
        <w:pStyle w:val="ListParagraph"/>
        <w:numPr>
          <w:ilvl w:val="0"/>
          <w:numId w:val="1"/>
        </w:numPr>
        <w:spacing w:line="276" w:lineRule="auto"/>
      </w:pPr>
      <w:r>
        <w:t xml:space="preserve">QUESTION: </w:t>
      </w:r>
      <w:r w:rsidR="005918AC">
        <w:t>In what vocation did Joseph and Jesus work?</w:t>
      </w:r>
    </w:p>
    <w:p w:rsidR="006679A8" w:rsidRDefault="006679A8" w:rsidP="004710A2">
      <w:pPr>
        <w:spacing w:line="276" w:lineRule="auto"/>
        <w:ind w:left="360"/>
      </w:pPr>
      <w:r>
        <w:t>ANSWER:</w:t>
      </w:r>
      <w:r w:rsidR="00816D3C" w:rsidRPr="00816D3C">
        <w:t xml:space="preserve"> </w:t>
      </w:r>
      <w:r w:rsidR="00816D3C">
        <w:t xml:space="preserve">(See </w:t>
      </w:r>
      <w:r w:rsidR="00816D3C" w:rsidRPr="0085776A">
        <w:rPr>
          <w:i/>
        </w:rPr>
        <w:t>Born to Die</w:t>
      </w:r>
      <w:r w:rsidR="00816D3C">
        <w:t xml:space="preserve">, subheading </w:t>
      </w:r>
      <w:r w:rsidR="00816D3C">
        <w:rPr>
          <w:i/>
        </w:rPr>
        <w:t>Joseph the Craftsman</w:t>
      </w:r>
      <w:r w:rsidR="00816D3C">
        <w:t>, page</w:t>
      </w:r>
      <w:r w:rsidR="00F56751">
        <w:t>s</w:t>
      </w:r>
      <w:r w:rsidR="00816D3C">
        <w:t xml:space="preserve"> 36-38.)</w:t>
      </w:r>
    </w:p>
    <w:p w:rsidR="006A4AD8" w:rsidRDefault="006A4AD8" w:rsidP="004710A2">
      <w:pPr>
        <w:pStyle w:val="ListParagraph"/>
        <w:numPr>
          <w:ilvl w:val="1"/>
          <w:numId w:val="1"/>
        </w:numPr>
        <w:spacing w:line="276" w:lineRule="auto"/>
      </w:pPr>
      <w:r w:rsidRPr="00450638">
        <w:t xml:space="preserve">Joseph worked as a </w:t>
      </w:r>
      <w:r>
        <w:t>“</w:t>
      </w:r>
      <w:r w:rsidRPr="00450638">
        <w:t>craftsman.</w:t>
      </w:r>
      <w:r>
        <w:t>”</w:t>
      </w:r>
      <w:r w:rsidRPr="00450638">
        <w:t xml:space="preserve"> Customarily, he would have trained Jesus to follow the same vocation</w:t>
      </w:r>
      <w:r w:rsidRPr="00450638">
        <w:rPr>
          <w:rStyle w:val="FootnoteReference"/>
        </w:rPr>
        <w:footnoteReference w:id="3"/>
      </w:r>
      <w:r w:rsidRPr="00450638">
        <w:t xml:space="preserve"> and likely prepared Jesus’ </w:t>
      </w:r>
      <w:r w:rsidR="006E7B98">
        <w:t xml:space="preserve">younger </w:t>
      </w:r>
      <w:r w:rsidRPr="00450638">
        <w:t>brothers</w:t>
      </w:r>
      <w:r w:rsidRPr="00450638">
        <w:rPr>
          <w:rStyle w:val="FootnoteReference"/>
        </w:rPr>
        <w:footnoteReference w:id="4"/>
      </w:r>
      <w:r w:rsidRPr="00450638">
        <w:t xml:space="preserve"> to work in the family business as well.</w:t>
      </w:r>
    </w:p>
    <w:p w:rsidR="000E4228" w:rsidRDefault="0038445B" w:rsidP="004710A2">
      <w:pPr>
        <w:pStyle w:val="ListParagraph"/>
        <w:numPr>
          <w:ilvl w:val="1"/>
          <w:numId w:val="1"/>
        </w:numPr>
        <w:spacing w:line="276" w:lineRule="auto"/>
      </w:pPr>
      <w:r w:rsidRPr="00450638">
        <w:t xml:space="preserve">The majority of translators utilize the word “carpenter” to convey the occupation of Joseph. </w:t>
      </w:r>
      <w:r w:rsidRPr="0038445B">
        <w:rPr>
          <w:i/>
        </w:rPr>
        <w:t xml:space="preserve">Xulourgós </w:t>
      </w:r>
      <w:r w:rsidRPr="00450638">
        <w:t>(zü-lŏür-gŏ́s),</w:t>
      </w:r>
      <w:r w:rsidRPr="00450638">
        <w:rPr>
          <w:rStyle w:val="FootnoteReference"/>
        </w:rPr>
        <w:footnoteReference w:id="5"/>
      </w:r>
      <w:r w:rsidRPr="00450638">
        <w:t xml:space="preserve"> the Greek word properly translated carpenter, literally means “wood worker.” Yet, no writer used </w:t>
      </w:r>
      <w:r w:rsidRPr="0038445B">
        <w:rPr>
          <w:i/>
        </w:rPr>
        <w:t>xulourgós</w:t>
      </w:r>
      <w:r w:rsidRPr="00450638">
        <w:t xml:space="preserve"> anywhere in the New Testament.</w:t>
      </w:r>
    </w:p>
    <w:p w:rsidR="0038445B" w:rsidRPr="00450638" w:rsidRDefault="0038445B" w:rsidP="004710A2">
      <w:pPr>
        <w:pStyle w:val="ListParagraph"/>
        <w:numPr>
          <w:ilvl w:val="1"/>
          <w:numId w:val="1"/>
        </w:numPr>
        <w:spacing w:line="276" w:lineRule="auto"/>
      </w:pPr>
      <w:r w:rsidRPr="00450638">
        <w:lastRenderedPageBreak/>
        <w:t xml:space="preserve">Matthew employed the Greek word </w:t>
      </w:r>
      <w:r w:rsidRPr="000E4228">
        <w:rPr>
          <w:i/>
        </w:rPr>
        <w:t xml:space="preserve">téktonos </w:t>
      </w:r>
      <w:r w:rsidRPr="000254B9">
        <w:t>(tĕ́k-tŏn-ŏs)</w:t>
      </w:r>
      <w:r w:rsidRPr="00450638">
        <w:rPr>
          <w:rStyle w:val="FootnoteReference"/>
        </w:rPr>
        <w:footnoteReference w:id="6"/>
      </w:r>
      <w:r w:rsidRPr="00450638">
        <w:t xml:space="preserve"> to describe Joseph’s trade. </w:t>
      </w:r>
      <w:r w:rsidRPr="000E4228">
        <w:rPr>
          <w:i/>
        </w:rPr>
        <w:t>Téktonos</w:t>
      </w:r>
      <w:r w:rsidRPr="00450638">
        <w:t xml:space="preserve"> </w:t>
      </w:r>
      <w:r>
        <w:t>forms</w:t>
      </w:r>
      <w:r w:rsidRPr="00450638">
        <w:t xml:space="preserve"> the genitive</w:t>
      </w:r>
      <w:r w:rsidRPr="00450638">
        <w:rPr>
          <w:rStyle w:val="FootnoteReference"/>
        </w:rPr>
        <w:footnoteReference w:id="7"/>
      </w:r>
      <w:r w:rsidRPr="00450638">
        <w:t xml:space="preserve"> </w:t>
      </w:r>
      <w:r>
        <w:t>case</w:t>
      </w:r>
      <w:r w:rsidRPr="00450638">
        <w:t xml:space="preserve"> of the Greek noun </w:t>
      </w:r>
      <w:r w:rsidRPr="000E4228">
        <w:rPr>
          <w:i/>
        </w:rPr>
        <w:t xml:space="preserve">tékton </w:t>
      </w:r>
      <w:r w:rsidRPr="00450638">
        <w:t>(tĕ́k-tōn),</w:t>
      </w:r>
      <w:r w:rsidRPr="00450638">
        <w:rPr>
          <w:rStyle w:val="FootnoteReference"/>
        </w:rPr>
        <w:footnoteReference w:id="8"/>
      </w:r>
      <w:r w:rsidRPr="00450638">
        <w:t xml:space="preserve"> which means “craftsman.” Bystanders in Nazareth identified Jesus as a </w:t>
      </w:r>
      <w:r w:rsidRPr="000E4228">
        <w:rPr>
          <w:i/>
        </w:rPr>
        <w:t>tékton</w:t>
      </w:r>
      <w:r w:rsidRPr="00450638">
        <w:t xml:space="preserve"> (craftsman),</w:t>
      </w:r>
      <w:r w:rsidRPr="00450638">
        <w:rPr>
          <w:rStyle w:val="FootnoteReference"/>
        </w:rPr>
        <w:footnoteReference w:id="9"/>
      </w:r>
      <w:r w:rsidRPr="00450638">
        <w:t xml:space="preserve"> not a </w:t>
      </w:r>
      <w:r w:rsidRPr="000E4228">
        <w:rPr>
          <w:i/>
        </w:rPr>
        <w:t>xulourgós</w:t>
      </w:r>
      <w:r w:rsidRPr="00450638">
        <w:t xml:space="preserve"> (wood worker).</w:t>
      </w:r>
    </w:p>
    <w:p w:rsidR="00ED4ED8" w:rsidRPr="00ED4ED8" w:rsidRDefault="0038445B" w:rsidP="004710A2">
      <w:pPr>
        <w:pStyle w:val="ListParagraph"/>
        <w:numPr>
          <w:ilvl w:val="1"/>
          <w:numId w:val="1"/>
        </w:numPr>
        <w:spacing w:line="276" w:lineRule="auto"/>
      </w:pPr>
      <w:r w:rsidRPr="00450638">
        <w:t xml:space="preserve">The work performed by a </w:t>
      </w:r>
      <w:r w:rsidRPr="0038445B">
        <w:rPr>
          <w:i/>
        </w:rPr>
        <w:t>tékton</w:t>
      </w:r>
      <w:r w:rsidRPr="00450638">
        <w:t xml:space="preserve"> (craftsman) could involve stone, wood, metal, or any combination of those materials, depending on the context in which a writer e</w:t>
      </w:r>
      <w:r>
        <w:t xml:space="preserve">mployed the word. Luke referred to the </w:t>
      </w:r>
      <w:r w:rsidRPr="00083DB0">
        <w:t>silversmiths in Ephesus as craftsmen,</w:t>
      </w:r>
      <w:r w:rsidRPr="00083DB0">
        <w:rPr>
          <w:rStyle w:val="FootnoteReference"/>
        </w:rPr>
        <w:footnoteReference w:id="10"/>
      </w:r>
      <w:r w:rsidRPr="00083DB0">
        <w:t xml:space="preserve"> calling them </w:t>
      </w:r>
      <w:r w:rsidRPr="0038445B">
        <w:rPr>
          <w:i/>
        </w:rPr>
        <w:t xml:space="preserve">teknítais </w:t>
      </w:r>
      <w:r w:rsidRPr="000254B9">
        <w:t>(t</w:t>
      </w:r>
      <w:r w:rsidRPr="00083DB0">
        <w:t>ĕ</w:t>
      </w:r>
      <w:r w:rsidRPr="000254B9">
        <w:t>k-n</w:t>
      </w:r>
      <w:r w:rsidRPr="00083DB0">
        <w:t>ĭ́-</w:t>
      </w:r>
      <w:r w:rsidRPr="000254B9">
        <w:t>t</w:t>
      </w:r>
      <w:r w:rsidRPr="00083DB0">
        <w:t>äĭ</w:t>
      </w:r>
      <w:r w:rsidRPr="000254B9">
        <w:t>s)</w:t>
      </w:r>
      <w:r w:rsidRPr="00083DB0">
        <w:t>,</w:t>
      </w:r>
      <w:r w:rsidRPr="00083DB0">
        <w:rPr>
          <w:rStyle w:val="FootnoteReference"/>
        </w:rPr>
        <w:footnoteReference w:id="11"/>
      </w:r>
      <w:r w:rsidRPr="00083DB0">
        <w:t xml:space="preserve"> the plural of </w:t>
      </w:r>
      <w:r w:rsidRPr="0038445B">
        <w:rPr>
          <w:i/>
        </w:rPr>
        <w:t>teknítas</w:t>
      </w:r>
      <w:r w:rsidRPr="00083DB0">
        <w:t xml:space="preserve"> </w:t>
      </w:r>
      <w:r w:rsidRPr="000254B9">
        <w:t>(t</w:t>
      </w:r>
      <w:r w:rsidRPr="00083DB0">
        <w:t>ĕ</w:t>
      </w:r>
      <w:r w:rsidRPr="000254B9">
        <w:t>k-n</w:t>
      </w:r>
      <w:r w:rsidRPr="00083DB0">
        <w:t>ĭ́-</w:t>
      </w:r>
      <w:r w:rsidRPr="000254B9">
        <w:t>t</w:t>
      </w:r>
      <w:r w:rsidRPr="00083DB0">
        <w:t>ā</w:t>
      </w:r>
      <w:r w:rsidRPr="000254B9">
        <w:t>s),</w:t>
      </w:r>
      <w:r w:rsidRPr="00083DB0">
        <w:rPr>
          <w:rStyle w:val="FootnoteReference"/>
          <w:lang w:val="es-ES"/>
        </w:rPr>
        <w:footnoteReference w:id="12"/>
      </w:r>
      <w:r w:rsidRPr="000254B9">
        <w:t xml:space="preserve"> a</w:t>
      </w:r>
      <w:r w:rsidRPr="00083DB0">
        <w:t xml:space="preserve"> close synonym</w:t>
      </w:r>
      <w:r w:rsidRPr="000254B9">
        <w:t xml:space="preserve"> of </w:t>
      </w:r>
      <w:r w:rsidRPr="0038445B">
        <w:rPr>
          <w:i/>
        </w:rPr>
        <w:t>tékton</w:t>
      </w:r>
      <w:r w:rsidRPr="00083DB0">
        <w:t>.</w:t>
      </w:r>
    </w:p>
    <w:p w:rsidR="00F72903" w:rsidRDefault="0038445B" w:rsidP="004710A2">
      <w:pPr>
        <w:pStyle w:val="ListParagraph"/>
        <w:numPr>
          <w:ilvl w:val="1"/>
          <w:numId w:val="1"/>
        </w:numPr>
        <w:spacing w:line="276" w:lineRule="auto"/>
      </w:pPr>
      <w:r w:rsidRPr="00083DB0">
        <w:t>S</w:t>
      </w:r>
      <w:r w:rsidRPr="00450638">
        <w:t xml:space="preserve">ince no biblical text mentions the exact material with which Joseph or Jesus worked, </w:t>
      </w:r>
      <w:r>
        <w:t>anyone who identifies</w:t>
      </w:r>
      <w:r w:rsidRPr="00450638">
        <w:t xml:space="preserve"> them as carpenters</w:t>
      </w:r>
      <w:r w:rsidR="001D21AD">
        <w:t xml:space="preserve"> </w:t>
      </w:r>
      <w:r w:rsidR="00980EBE">
        <w:t xml:space="preserve">has done so based on </w:t>
      </w:r>
      <w:r w:rsidR="001D21AD">
        <w:t>legend</w:t>
      </w:r>
      <w:r w:rsidRPr="00450638">
        <w:t>.</w:t>
      </w:r>
      <w:r w:rsidR="00980EBE">
        <w:t xml:space="preserve"> </w:t>
      </w:r>
      <w:r w:rsidRPr="00450638">
        <w:t>Instead, consider the environmental and cultural contexts of their day.</w:t>
      </w:r>
    </w:p>
    <w:p w:rsidR="00C01663" w:rsidRDefault="0038445B" w:rsidP="004710A2">
      <w:pPr>
        <w:pStyle w:val="ListParagraph"/>
        <w:numPr>
          <w:ilvl w:val="1"/>
          <w:numId w:val="1"/>
        </w:numPr>
        <w:spacing w:line="276" w:lineRule="auto"/>
      </w:pPr>
      <w:r w:rsidRPr="00450638">
        <w:t xml:space="preserve">In ancient Judea, a </w:t>
      </w:r>
      <w:r w:rsidRPr="00F72903">
        <w:rPr>
          <w:i/>
        </w:rPr>
        <w:t>tékton</w:t>
      </w:r>
      <w:r w:rsidRPr="00450638">
        <w:t xml:space="preserve"> (craftsman) utilized stone to fabricate buildings,</w:t>
      </w:r>
      <w:r w:rsidRPr="00450638">
        <w:rPr>
          <w:rStyle w:val="FootnoteReference"/>
        </w:rPr>
        <w:footnoteReference w:id="13"/>
      </w:r>
      <w:r w:rsidRPr="00450638">
        <w:t xml:space="preserve"> city walls,</w:t>
      </w:r>
      <w:r w:rsidRPr="00450638">
        <w:rPr>
          <w:rStyle w:val="FootnoteReference"/>
        </w:rPr>
        <w:footnoteReference w:id="14"/>
      </w:r>
      <w:r w:rsidRPr="00450638">
        <w:t xml:space="preserve"> houses,</w:t>
      </w:r>
      <w:r w:rsidRPr="00450638">
        <w:rPr>
          <w:rStyle w:val="FootnoteReference"/>
        </w:rPr>
        <w:footnoteReference w:id="15"/>
      </w:r>
      <w:r w:rsidRPr="00450638">
        <w:t xml:space="preserve"> animal troughs,</w:t>
      </w:r>
      <w:r w:rsidRPr="00450638">
        <w:rPr>
          <w:rStyle w:val="FootnoteReference"/>
        </w:rPr>
        <w:footnoteReference w:id="16"/>
      </w:r>
      <w:r w:rsidRPr="00450638">
        <w:t xml:space="preserve"> water pots,</w:t>
      </w:r>
      <w:r w:rsidRPr="00450638">
        <w:rPr>
          <w:rStyle w:val="FootnoteReference"/>
        </w:rPr>
        <w:footnoteReference w:id="17"/>
      </w:r>
      <w:r w:rsidRPr="00450638">
        <w:t xml:space="preserve"> millstones,</w:t>
      </w:r>
      <w:r w:rsidRPr="00450638">
        <w:rPr>
          <w:rStyle w:val="FootnoteReference"/>
        </w:rPr>
        <w:footnoteReference w:id="18"/>
      </w:r>
      <w:r w:rsidRPr="00450638">
        <w:t xml:space="preserve"> and numerous other commodities.</w:t>
      </w:r>
      <w:r w:rsidRPr="00450638">
        <w:rPr>
          <w:rStyle w:val="FootnoteReference"/>
        </w:rPr>
        <w:footnoteReference w:id="19"/>
      </w:r>
      <w:r w:rsidRPr="00450638">
        <w:t xml:space="preserve"> They found stone readily available and inexpensive, while craft-quality wood </w:t>
      </w:r>
      <w:r>
        <w:t>remained</w:t>
      </w:r>
      <w:r w:rsidRPr="00450638">
        <w:t xml:space="preserve"> a r</w:t>
      </w:r>
      <w:r>
        <w:t>are and expensive material. Considering these facts</w:t>
      </w:r>
      <w:r w:rsidRPr="00450638">
        <w:t>, Joseph and Jesus probably worked as common stone craftsmen, not as prosperous wood craftsmen skilled in fine artistic design.</w:t>
      </w:r>
      <w:r>
        <w:rPr>
          <w:rStyle w:val="FootnoteReference"/>
        </w:rPr>
        <w:footnoteReference w:id="20"/>
      </w:r>
    </w:p>
    <w:p w:rsidR="007F61B9" w:rsidRDefault="00415FB0" w:rsidP="004710A2">
      <w:pPr>
        <w:pStyle w:val="ListParagraph"/>
        <w:numPr>
          <w:ilvl w:val="0"/>
          <w:numId w:val="1"/>
        </w:numPr>
        <w:spacing w:line="276" w:lineRule="auto"/>
      </w:pPr>
      <w:r>
        <w:t xml:space="preserve">QUESTION: </w:t>
      </w:r>
      <w:r w:rsidR="007F61B9">
        <w:t>How many Magi traveled to visit Jesus?</w:t>
      </w:r>
    </w:p>
    <w:p w:rsidR="007A3872" w:rsidRDefault="006679A8" w:rsidP="004710A2">
      <w:pPr>
        <w:spacing w:line="276" w:lineRule="auto"/>
        <w:ind w:left="1530" w:hanging="1170"/>
      </w:pPr>
      <w:r>
        <w:t>ANSWER:</w:t>
      </w:r>
      <w:r w:rsidR="004436E2">
        <w:t xml:space="preserve"> </w:t>
      </w:r>
      <w:r w:rsidR="00415FB0">
        <w:t>Neither the</w:t>
      </w:r>
      <w:r w:rsidR="007A3872">
        <w:t xml:space="preserve"> Scriptures </w:t>
      </w:r>
      <w:r w:rsidR="00415FB0">
        <w:t xml:space="preserve">nor any credible history </w:t>
      </w:r>
      <w:r w:rsidR="00004742">
        <w:t>reveal</w:t>
      </w:r>
      <w:r w:rsidR="007A3872">
        <w:t xml:space="preserve"> how many Magi traveled to visit Jesus.</w:t>
      </w:r>
    </w:p>
    <w:p w:rsidR="006D3997" w:rsidRDefault="006D3997">
      <w:r>
        <w:br w:type="page"/>
      </w:r>
    </w:p>
    <w:p w:rsidR="006E4CDC" w:rsidRDefault="00415FB0" w:rsidP="004710A2">
      <w:pPr>
        <w:pStyle w:val="ListParagraph"/>
        <w:numPr>
          <w:ilvl w:val="0"/>
          <w:numId w:val="1"/>
        </w:numPr>
        <w:spacing w:line="276" w:lineRule="auto"/>
      </w:pPr>
      <w:r>
        <w:t xml:space="preserve">QUESTION: </w:t>
      </w:r>
      <w:r w:rsidR="007F61B9">
        <w:t xml:space="preserve">From what </w:t>
      </w:r>
      <w:r w:rsidR="00B56FF1">
        <w:t>E</w:t>
      </w:r>
      <w:r w:rsidR="00F948DA">
        <w:t xml:space="preserve">astern </w:t>
      </w:r>
      <w:r w:rsidR="007F61B9">
        <w:t>empire did the Magi travel to visit Jesus?</w:t>
      </w:r>
    </w:p>
    <w:p w:rsidR="006679A8" w:rsidRDefault="006679A8" w:rsidP="004710A2">
      <w:pPr>
        <w:spacing w:line="276" w:lineRule="auto"/>
        <w:ind w:left="360"/>
      </w:pPr>
      <w:r>
        <w:t>ANSWER:</w:t>
      </w:r>
      <w:r w:rsidR="00F56751" w:rsidRPr="00F56751">
        <w:t xml:space="preserve"> </w:t>
      </w:r>
      <w:r w:rsidR="00F56751">
        <w:t xml:space="preserve">(See </w:t>
      </w:r>
      <w:r w:rsidR="00F56751" w:rsidRPr="0085776A">
        <w:rPr>
          <w:i/>
        </w:rPr>
        <w:t>Born to Die</w:t>
      </w:r>
      <w:r w:rsidR="00F56751">
        <w:t xml:space="preserve">, subheading </w:t>
      </w:r>
      <w:r w:rsidR="00F56751">
        <w:rPr>
          <w:i/>
        </w:rPr>
        <w:t>Parthian Empire and the Magi</w:t>
      </w:r>
      <w:r w:rsidR="00F56751">
        <w:t>, page 78.)</w:t>
      </w:r>
    </w:p>
    <w:p w:rsidR="006E4CDC" w:rsidRDefault="00F948DA" w:rsidP="004710A2">
      <w:pPr>
        <w:pStyle w:val="ListParagraph"/>
        <w:numPr>
          <w:ilvl w:val="1"/>
          <w:numId w:val="1"/>
        </w:numPr>
        <w:spacing w:line="276" w:lineRule="auto"/>
      </w:pPr>
      <w:r>
        <w:t>The Parthian Empire</w:t>
      </w:r>
      <w:r w:rsidR="006E4CDC">
        <w:t>.</w:t>
      </w:r>
    </w:p>
    <w:p w:rsidR="00F948DA" w:rsidRDefault="006E4CDC" w:rsidP="004710A2">
      <w:pPr>
        <w:pStyle w:val="ListParagraph"/>
        <w:numPr>
          <w:ilvl w:val="1"/>
          <w:numId w:val="1"/>
        </w:numPr>
        <w:spacing w:line="276" w:lineRule="auto"/>
      </w:pPr>
      <w:r>
        <w:t>By the time of Jesus’ birth, the Parthian Empire and the Roman Empire had positioned themselves as superpower ri</w:t>
      </w:r>
      <w:r w:rsidR="00B67B9F">
        <w:t xml:space="preserve">vals. Parthia had conquered the </w:t>
      </w:r>
      <w:r>
        <w:t>Asian lands in the East extending from Syria to India, and Rome ruled the Western regions surrounding the Mediterranean Sea.</w:t>
      </w:r>
    </w:p>
    <w:p w:rsidR="00F5154A" w:rsidRDefault="00F43179" w:rsidP="004710A2">
      <w:pPr>
        <w:pStyle w:val="ListParagraph"/>
        <w:numPr>
          <w:ilvl w:val="0"/>
          <w:numId w:val="1"/>
        </w:numPr>
        <w:spacing w:line="276" w:lineRule="auto"/>
      </w:pPr>
      <w:r>
        <w:t xml:space="preserve">QUESTION: </w:t>
      </w:r>
      <w:r w:rsidR="00F5154A">
        <w:t>On what date did Mary give birth to Jesus?</w:t>
      </w:r>
    </w:p>
    <w:p w:rsidR="006679A8" w:rsidRDefault="006679A8" w:rsidP="004710A2">
      <w:pPr>
        <w:spacing w:line="276" w:lineRule="auto"/>
        <w:ind w:left="360"/>
      </w:pPr>
      <w:r>
        <w:t>ANSWER:</w:t>
      </w:r>
      <w:r w:rsidR="00984E6E" w:rsidRPr="00984E6E">
        <w:t xml:space="preserve"> </w:t>
      </w:r>
      <w:r w:rsidR="00984E6E">
        <w:t xml:space="preserve">(See </w:t>
      </w:r>
      <w:r w:rsidR="00984E6E" w:rsidRPr="0085776A">
        <w:rPr>
          <w:i/>
        </w:rPr>
        <w:t>Born to Die</w:t>
      </w:r>
      <w:r w:rsidR="00984E6E">
        <w:t xml:space="preserve">, subheading </w:t>
      </w:r>
      <w:r w:rsidR="00984E6E">
        <w:rPr>
          <w:i/>
        </w:rPr>
        <w:t>Date of Jesus’ Birth</w:t>
      </w:r>
      <w:r w:rsidR="00984E6E">
        <w:t>, pages 103-104.)</w:t>
      </w:r>
    </w:p>
    <w:p w:rsidR="00F5154A" w:rsidRDefault="00F5154A" w:rsidP="004710A2">
      <w:pPr>
        <w:pStyle w:val="ListParagraph"/>
        <w:numPr>
          <w:ilvl w:val="1"/>
          <w:numId w:val="1"/>
        </w:numPr>
        <w:spacing w:line="276" w:lineRule="auto"/>
      </w:pPr>
      <w:r>
        <w:t>No one knows.</w:t>
      </w:r>
    </w:p>
    <w:p w:rsidR="0069143B" w:rsidRDefault="0069143B" w:rsidP="004710A2">
      <w:pPr>
        <w:pStyle w:val="ListParagraph"/>
        <w:numPr>
          <w:ilvl w:val="1"/>
          <w:numId w:val="1"/>
        </w:numPr>
        <w:spacing w:line="276" w:lineRule="auto"/>
      </w:pPr>
      <w:r w:rsidRPr="00450638">
        <w:t>Each year, many Christians observe December 25 as</w:t>
      </w:r>
      <w:r>
        <w:t xml:space="preserve"> Jesus’ birthday. Yet,</w:t>
      </w:r>
      <w:r w:rsidRPr="00450638">
        <w:t xml:space="preserve"> the Scriptures do not divulge the date of Jesus’ birth, nor does God direct an annual celebration of </w:t>
      </w:r>
      <w:r>
        <w:t>that day</w:t>
      </w:r>
      <w:r w:rsidRPr="00450638">
        <w:t>.</w:t>
      </w:r>
    </w:p>
    <w:p w:rsidR="00B174C4" w:rsidRDefault="00F43179" w:rsidP="004710A2">
      <w:pPr>
        <w:pStyle w:val="ListParagraph"/>
        <w:numPr>
          <w:ilvl w:val="0"/>
          <w:numId w:val="1"/>
        </w:numPr>
        <w:spacing w:line="276" w:lineRule="auto"/>
      </w:pPr>
      <w:r>
        <w:t xml:space="preserve">QUESTION: </w:t>
      </w:r>
      <w:r w:rsidR="00B174C4">
        <w:t>Why did the Magi give frankincense and myrrh to Jesus?</w:t>
      </w:r>
    </w:p>
    <w:p w:rsidR="006679A8" w:rsidRDefault="006679A8" w:rsidP="004710A2">
      <w:pPr>
        <w:spacing w:line="276" w:lineRule="auto"/>
        <w:ind w:left="360"/>
      </w:pPr>
      <w:r>
        <w:t>ANSWER:</w:t>
      </w:r>
      <w:r w:rsidR="00984E6E" w:rsidRPr="00984E6E">
        <w:t xml:space="preserve"> </w:t>
      </w:r>
      <w:r w:rsidR="00984E6E">
        <w:t xml:space="preserve">(See </w:t>
      </w:r>
      <w:r w:rsidR="00984E6E" w:rsidRPr="0085776A">
        <w:rPr>
          <w:i/>
        </w:rPr>
        <w:t>Born to Die</w:t>
      </w:r>
      <w:r w:rsidR="00034E0F">
        <w:t xml:space="preserve">, </w:t>
      </w:r>
      <w:r w:rsidR="00984E6E">
        <w:t xml:space="preserve">heading </w:t>
      </w:r>
      <w:r w:rsidR="00034E0F">
        <w:rPr>
          <w:i/>
        </w:rPr>
        <w:t>They Offered Him Gifts</w:t>
      </w:r>
      <w:r w:rsidR="00984E6E">
        <w:t>, pages 10</w:t>
      </w:r>
      <w:r w:rsidR="00326690">
        <w:t>9</w:t>
      </w:r>
      <w:r w:rsidR="00984E6E">
        <w:t>-1</w:t>
      </w:r>
      <w:r w:rsidR="00326690">
        <w:t>15</w:t>
      </w:r>
      <w:r w:rsidR="00984E6E">
        <w:t>.)</w:t>
      </w:r>
    </w:p>
    <w:p w:rsidR="00080516" w:rsidRDefault="005D6A1C" w:rsidP="004710A2">
      <w:pPr>
        <w:pStyle w:val="ListParagraph"/>
        <w:numPr>
          <w:ilvl w:val="1"/>
          <w:numId w:val="1"/>
        </w:numPr>
        <w:spacing w:line="276" w:lineRule="auto"/>
      </w:pPr>
      <w:r w:rsidRPr="00450638">
        <w:t xml:space="preserve">The Magi’s gifts consisted of gold, </w:t>
      </w:r>
      <w:bookmarkStart w:id="0" w:name="Frankincense"/>
      <w:r w:rsidRPr="00450638">
        <w:t>frankincense</w:t>
      </w:r>
      <w:bookmarkEnd w:id="0"/>
      <w:r w:rsidRPr="00450638">
        <w:t xml:space="preserve">, and myrrh – all of great </w:t>
      </w:r>
      <w:r>
        <w:t>worth</w:t>
      </w:r>
      <w:r w:rsidRPr="00450638">
        <w:t>.</w:t>
      </w:r>
      <w:r w:rsidR="003151E3">
        <w:t xml:space="preserve"> Frankincense and myrrh spices consisted of the dried sap of the frankincense and myrrh trees.</w:t>
      </w:r>
    </w:p>
    <w:p w:rsidR="00080516" w:rsidRDefault="00436CDA" w:rsidP="004710A2">
      <w:pPr>
        <w:pStyle w:val="ListParagraph"/>
        <w:numPr>
          <w:ilvl w:val="1"/>
          <w:numId w:val="1"/>
        </w:numPr>
        <w:spacing w:line="276" w:lineRule="auto"/>
      </w:pPr>
      <w:r>
        <w:t>Frankincense</w:t>
      </w:r>
    </w:p>
    <w:p w:rsidR="00913BD3" w:rsidRDefault="00080516" w:rsidP="004710A2">
      <w:pPr>
        <w:pStyle w:val="ListParagraph"/>
        <w:numPr>
          <w:ilvl w:val="2"/>
          <w:numId w:val="1"/>
        </w:numPr>
        <w:spacing w:line="276" w:lineRule="auto"/>
      </w:pPr>
      <w:r>
        <w:t>Frankincense</w:t>
      </w:r>
      <w:r w:rsidR="005D6A1C" w:rsidRPr="00450638">
        <w:t xml:space="preserve"> brought a pri</w:t>
      </w:r>
      <w:r w:rsidR="005D6A1C">
        <w:t>ce more than its weight in</w:t>
      </w:r>
      <w:r w:rsidR="00724509">
        <w:t xml:space="preserve"> gold due to its remote </w:t>
      </w:r>
      <w:r w:rsidR="005D6A1C">
        <w:t>origin, limited availability, and numerous</w:t>
      </w:r>
      <w:r w:rsidR="005D6A1C" w:rsidRPr="002236F7">
        <w:t xml:space="preserve"> </w:t>
      </w:r>
      <w:r w:rsidR="005D6A1C">
        <w:t>applications.</w:t>
      </w:r>
    </w:p>
    <w:p w:rsidR="00913BD3" w:rsidRDefault="00913BD3" w:rsidP="004710A2">
      <w:pPr>
        <w:pStyle w:val="ListParagraph"/>
        <w:numPr>
          <w:ilvl w:val="2"/>
          <w:numId w:val="1"/>
        </w:numPr>
        <w:spacing w:line="276" w:lineRule="auto"/>
      </w:pPr>
      <w:r w:rsidRPr="00450638">
        <w:t>Widely utilized as incense, a globule of frankincense placed directly on top of burning coals yielded a fragrant aroma.</w:t>
      </w:r>
    </w:p>
    <w:p w:rsidR="00913BD3" w:rsidRDefault="00913BD3" w:rsidP="004710A2">
      <w:pPr>
        <w:pStyle w:val="ListParagraph"/>
        <w:numPr>
          <w:ilvl w:val="2"/>
          <w:numId w:val="1"/>
        </w:numPr>
        <w:spacing w:line="276" w:lineRule="auto"/>
      </w:pPr>
      <w:r w:rsidRPr="00450638">
        <w:t>When distilled, frankincense resin yields a volatile oil. Makers of perfumes, lotions, creams, and soaps blended in frankincense oil with their other ingredients.</w:t>
      </w:r>
      <w:r w:rsidRPr="00450638">
        <w:rPr>
          <w:rStyle w:val="FootnoteReference"/>
        </w:rPr>
        <w:footnoteReference w:id="21"/>
      </w:r>
      <w:r w:rsidRPr="00450638">
        <w:t xml:space="preserve"> Frankincense also served as a natural insecticide and insect repellant.</w:t>
      </w:r>
    </w:p>
    <w:p w:rsidR="00913BD3" w:rsidRPr="009E66C6" w:rsidRDefault="00913BD3" w:rsidP="004710A2">
      <w:pPr>
        <w:pStyle w:val="ListParagraph"/>
        <w:numPr>
          <w:ilvl w:val="2"/>
          <w:numId w:val="1"/>
        </w:numPr>
        <w:spacing w:line="276" w:lineRule="auto"/>
      </w:pPr>
      <w:r w:rsidRPr="00450638">
        <w:t>Early Greeks and Romans utilized frankincense in various potions to treat a broad range of ailments. Muslim, Syrian, Indian, and Chinese writings mention it as an ingredient in assorted medicinal preparations. Physicians applied it topically to inflamed areas to reduce swelling. Taken internally, it eased intestinal blockage. When chewed, it reduced coughing and prevented bad breath. In addition, frankincense relieved irritated eyes when mixed with eyewashes.</w:t>
      </w:r>
    </w:p>
    <w:p w:rsidR="00913BD3" w:rsidRDefault="00436CDA" w:rsidP="004710A2">
      <w:pPr>
        <w:pStyle w:val="ListParagraph"/>
        <w:numPr>
          <w:ilvl w:val="1"/>
          <w:numId w:val="1"/>
        </w:numPr>
        <w:spacing w:line="276" w:lineRule="auto"/>
      </w:pPr>
      <w:r>
        <w:t>Myrrh</w:t>
      </w:r>
    </w:p>
    <w:p w:rsidR="00913BD3" w:rsidRDefault="000972EF" w:rsidP="004710A2">
      <w:pPr>
        <w:pStyle w:val="ListParagraph"/>
        <w:numPr>
          <w:ilvl w:val="2"/>
          <w:numId w:val="1"/>
        </w:numPr>
        <w:spacing w:line="276" w:lineRule="auto"/>
      </w:pPr>
      <w:r w:rsidRPr="00450638">
        <w:t>Myrrh ranked</w:t>
      </w:r>
      <w:r>
        <w:t xml:space="preserve"> close to frankincense in value, though a little less costly. Like frankincense, </w:t>
      </w:r>
      <w:r w:rsidRPr="00450638">
        <w:t>it rivaled the price of gold as one of the most expensive c</w:t>
      </w:r>
      <w:r>
        <w:t xml:space="preserve">ommodities in the ancient </w:t>
      </w:r>
      <w:r w:rsidR="00724509">
        <w:t xml:space="preserve">world due to its remote </w:t>
      </w:r>
      <w:r>
        <w:t>origin, limited availability, and numerous</w:t>
      </w:r>
      <w:r w:rsidRPr="002236F7">
        <w:t xml:space="preserve"> </w:t>
      </w:r>
      <w:r>
        <w:t>applications.</w:t>
      </w:r>
    </w:p>
    <w:p w:rsidR="00DD36F0" w:rsidRPr="00450638" w:rsidRDefault="00DD36F0" w:rsidP="004710A2">
      <w:pPr>
        <w:pStyle w:val="ListParagraph"/>
        <w:numPr>
          <w:ilvl w:val="2"/>
          <w:numId w:val="1"/>
        </w:numPr>
        <w:spacing w:line="276" w:lineRule="auto"/>
      </w:pPr>
      <w:r w:rsidRPr="00450638">
        <w:t xml:space="preserve">Ancient civilizations burned myrrh as incense. They also added it to perfumes. </w:t>
      </w:r>
    </w:p>
    <w:p w:rsidR="00DD36F0" w:rsidRPr="00450638" w:rsidRDefault="00DD36F0" w:rsidP="004710A2">
      <w:pPr>
        <w:pStyle w:val="ListParagraph"/>
        <w:numPr>
          <w:ilvl w:val="2"/>
          <w:numId w:val="1"/>
        </w:numPr>
        <w:spacing w:line="276" w:lineRule="auto"/>
      </w:pPr>
      <w:r>
        <w:t>Like frankincense, myrrh had</w:t>
      </w:r>
      <w:r w:rsidRPr="00450638">
        <w:t xml:space="preserve"> an extensive list of ancient medicinal benefits. Physicians mixed it with topical ointments to heal wounds. Myrrh suppressed bleeding and aided in the extraction of foreign material from an open wound.</w:t>
      </w:r>
    </w:p>
    <w:p w:rsidR="002A5B36" w:rsidRDefault="00F43179" w:rsidP="004710A2">
      <w:pPr>
        <w:pStyle w:val="ListParagraph"/>
        <w:numPr>
          <w:ilvl w:val="0"/>
          <w:numId w:val="1"/>
        </w:numPr>
        <w:spacing w:line="276" w:lineRule="auto"/>
      </w:pPr>
      <w:r>
        <w:t xml:space="preserve">QUESTION: </w:t>
      </w:r>
      <w:r w:rsidR="002A5B36">
        <w:t>Why did John the Baptist wear camel hair clothing and eat locusts?</w:t>
      </w:r>
    </w:p>
    <w:p w:rsidR="006679A8" w:rsidRDefault="006679A8" w:rsidP="004710A2">
      <w:pPr>
        <w:spacing w:line="276" w:lineRule="auto"/>
        <w:ind w:left="1530" w:hanging="1170"/>
      </w:pPr>
      <w:r>
        <w:t>ANSWER:</w:t>
      </w:r>
      <w:r w:rsidR="00383C35" w:rsidRPr="00383C35">
        <w:t xml:space="preserve"> </w:t>
      </w:r>
      <w:r w:rsidR="00383C35">
        <w:t xml:space="preserve">(See </w:t>
      </w:r>
      <w:r w:rsidR="00383C35" w:rsidRPr="0085776A">
        <w:rPr>
          <w:i/>
        </w:rPr>
        <w:t>Born to Die</w:t>
      </w:r>
      <w:r w:rsidR="00383C35">
        <w:t xml:space="preserve">, </w:t>
      </w:r>
      <w:r w:rsidR="00A32043">
        <w:t xml:space="preserve">subheading </w:t>
      </w:r>
      <w:r w:rsidR="00A32043" w:rsidRPr="00E93F92">
        <w:rPr>
          <w:i/>
        </w:rPr>
        <w:t>Camel Hair Clothing with a Skin Belt</w:t>
      </w:r>
      <w:r w:rsidR="00A32043">
        <w:t xml:space="preserve">, pages 153-154, and subheading </w:t>
      </w:r>
      <w:r w:rsidR="00A32043" w:rsidRPr="00E93F92">
        <w:rPr>
          <w:i/>
        </w:rPr>
        <w:t>Locusts and Wild Honey</w:t>
      </w:r>
      <w:r w:rsidR="00A32043">
        <w:t>, pages 154-156.)</w:t>
      </w:r>
      <w:r w:rsidR="00383C35">
        <w:t>.)</w:t>
      </w:r>
    </w:p>
    <w:p w:rsidR="00815B9E" w:rsidRDefault="00BA5FA8" w:rsidP="004710A2">
      <w:pPr>
        <w:pStyle w:val="ListParagraph"/>
        <w:numPr>
          <w:ilvl w:val="1"/>
          <w:numId w:val="1"/>
        </w:numPr>
        <w:spacing w:line="276" w:lineRule="auto"/>
      </w:pPr>
      <w:r>
        <w:t>Camel hair</w:t>
      </w:r>
    </w:p>
    <w:p w:rsidR="00D87DA9" w:rsidRDefault="00D87DA9" w:rsidP="004710A2">
      <w:pPr>
        <w:pStyle w:val="ListParagraph"/>
        <w:numPr>
          <w:ilvl w:val="2"/>
          <w:numId w:val="1"/>
        </w:numPr>
        <w:spacing w:line="276" w:lineRule="auto"/>
      </w:pPr>
      <w:r>
        <w:t>The country folk among whom John the Baptist lived wore camel hair clothing and ate locusts as part of their normal diet, as did John.</w:t>
      </w:r>
    </w:p>
    <w:p w:rsidR="000119B6" w:rsidRDefault="00815B9E" w:rsidP="004710A2">
      <w:pPr>
        <w:pStyle w:val="ListParagraph"/>
        <w:numPr>
          <w:ilvl w:val="2"/>
          <w:numId w:val="1"/>
        </w:numPr>
        <w:spacing w:line="276" w:lineRule="auto"/>
      </w:pPr>
      <w:r w:rsidRPr="00450638">
        <w:t>As a camel shed its hair toward the end of spring, weavers collected long, shaggy strands from its back, hump, and neck. They then threaded the hair into a</w:t>
      </w:r>
      <w:r w:rsidR="000119B6">
        <w:t>n economical, bristly material.</w:t>
      </w:r>
    </w:p>
    <w:p w:rsidR="00815B9E" w:rsidRDefault="00815B9E" w:rsidP="004710A2">
      <w:pPr>
        <w:pStyle w:val="ListParagraph"/>
        <w:numPr>
          <w:ilvl w:val="2"/>
          <w:numId w:val="1"/>
        </w:numPr>
        <w:spacing w:line="276" w:lineRule="auto"/>
      </w:pPr>
      <w:r w:rsidRPr="00450638">
        <w:t>Camel drivers and shepherds in Eastern countries w</w:t>
      </w:r>
      <w:r w:rsidR="00054017">
        <w:t>ear</w:t>
      </w:r>
      <w:r w:rsidRPr="00450638">
        <w:t xml:space="preserve"> camel hair garments </w:t>
      </w:r>
      <w:r w:rsidR="00054017">
        <w:t>to this day</w:t>
      </w:r>
      <w:r w:rsidRPr="00450638">
        <w:t>.</w:t>
      </w:r>
    </w:p>
    <w:p w:rsidR="00815B9E" w:rsidRDefault="00BA5FA8" w:rsidP="004710A2">
      <w:pPr>
        <w:pStyle w:val="ListParagraph"/>
        <w:numPr>
          <w:ilvl w:val="1"/>
          <w:numId w:val="1"/>
        </w:numPr>
        <w:spacing w:line="276" w:lineRule="auto"/>
      </w:pPr>
      <w:r>
        <w:t>Locusts</w:t>
      </w:r>
    </w:p>
    <w:p w:rsidR="000119B6" w:rsidRDefault="00A305A0" w:rsidP="004710A2">
      <w:pPr>
        <w:pStyle w:val="ListParagraph"/>
        <w:numPr>
          <w:ilvl w:val="2"/>
          <w:numId w:val="1"/>
        </w:numPr>
        <w:spacing w:line="276" w:lineRule="auto"/>
      </w:pPr>
      <w:r w:rsidRPr="00450638">
        <w:t xml:space="preserve">John the Immerser maintained eating habits as rural as </w:t>
      </w:r>
      <w:r w:rsidR="000119B6">
        <w:t>the manner in which he dressed.</w:t>
      </w:r>
    </w:p>
    <w:p w:rsidR="00A305A0" w:rsidRDefault="00A305A0" w:rsidP="004710A2">
      <w:pPr>
        <w:pStyle w:val="ListParagraph"/>
        <w:numPr>
          <w:ilvl w:val="2"/>
          <w:numId w:val="1"/>
        </w:numPr>
        <w:spacing w:line="276" w:lineRule="auto"/>
      </w:pPr>
      <w:r w:rsidRPr="00450638">
        <w:t xml:space="preserve">He ate as other inhabitants of the </w:t>
      </w:r>
      <w:r w:rsidR="000119B6">
        <w:t>Judean Desert</w:t>
      </w:r>
      <w:r w:rsidRPr="00450638">
        <w:t>, dining on a variety of foods including locust and honey.</w:t>
      </w:r>
    </w:p>
    <w:p w:rsidR="00F34F99" w:rsidRDefault="00F43179" w:rsidP="004710A2">
      <w:pPr>
        <w:pStyle w:val="ListParagraph"/>
        <w:numPr>
          <w:ilvl w:val="0"/>
          <w:numId w:val="1"/>
        </w:numPr>
        <w:spacing w:line="276" w:lineRule="auto"/>
      </w:pPr>
      <w:r>
        <w:t xml:space="preserve">QUESTION: </w:t>
      </w:r>
      <w:r w:rsidR="00F34F99">
        <w:t>A</w:t>
      </w:r>
      <w:r w:rsidR="00DB358B">
        <w:t>bout how many miles does the Jordan River run from its source to the Dead Sea?</w:t>
      </w:r>
    </w:p>
    <w:p w:rsidR="006679A8" w:rsidRDefault="006679A8" w:rsidP="004710A2">
      <w:pPr>
        <w:spacing w:line="276" w:lineRule="auto"/>
        <w:ind w:left="360"/>
      </w:pPr>
      <w:r>
        <w:t>ANSWER:</w:t>
      </w:r>
      <w:r w:rsidR="00793B8A" w:rsidRPr="00793B8A">
        <w:t xml:space="preserve"> </w:t>
      </w:r>
      <w:r w:rsidR="00793B8A">
        <w:t xml:space="preserve">(See </w:t>
      </w:r>
      <w:r w:rsidR="00793B8A" w:rsidRPr="0085776A">
        <w:rPr>
          <w:i/>
        </w:rPr>
        <w:t>Born to Die</w:t>
      </w:r>
      <w:r w:rsidR="00793B8A">
        <w:t xml:space="preserve">, </w:t>
      </w:r>
      <w:r w:rsidR="00553163">
        <w:t>sub</w:t>
      </w:r>
      <w:r w:rsidR="00793B8A">
        <w:t xml:space="preserve">heading </w:t>
      </w:r>
      <w:r w:rsidR="00553163" w:rsidRPr="00553163">
        <w:rPr>
          <w:i/>
        </w:rPr>
        <w:t xml:space="preserve">Route of the </w:t>
      </w:r>
      <w:r w:rsidR="00793B8A" w:rsidRPr="00553163">
        <w:rPr>
          <w:i/>
        </w:rPr>
        <w:t>Jordan</w:t>
      </w:r>
      <w:r w:rsidR="00793B8A">
        <w:rPr>
          <w:i/>
        </w:rPr>
        <w:t xml:space="preserve"> River</w:t>
      </w:r>
      <w:r w:rsidR="00793B8A">
        <w:t xml:space="preserve">, page </w:t>
      </w:r>
      <w:r w:rsidR="00553163">
        <w:t>162</w:t>
      </w:r>
      <w:r w:rsidR="00793B8A">
        <w:t>.)</w:t>
      </w:r>
    </w:p>
    <w:p w:rsidR="004E4F04" w:rsidRDefault="004E4F04" w:rsidP="004710A2">
      <w:pPr>
        <w:pStyle w:val="ListParagraph"/>
        <w:numPr>
          <w:ilvl w:val="1"/>
          <w:numId w:val="1"/>
        </w:numPr>
        <w:spacing w:line="276" w:lineRule="auto"/>
      </w:pPr>
      <w:r>
        <w:t>The distance between the source and end of the Jordan River extends about 165 air miles.</w:t>
      </w:r>
    </w:p>
    <w:p w:rsidR="009303D4" w:rsidRDefault="004E4F04" w:rsidP="004710A2">
      <w:pPr>
        <w:pStyle w:val="ListParagraph"/>
        <w:numPr>
          <w:ilvl w:val="1"/>
          <w:numId w:val="1"/>
        </w:numPr>
        <w:spacing w:line="276" w:lineRule="auto"/>
      </w:pPr>
      <w:r>
        <w:t>However, the Jordan River flows a</w:t>
      </w:r>
      <w:r w:rsidR="00DB358B">
        <w:t>bout 240 miles</w:t>
      </w:r>
      <w:r>
        <w:t xml:space="preserve"> over a winding course between its beginning near Caesarea Philippi</w:t>
      </w:r>
      <w:r w:rsidR="0084087A">
        <w:t xml:space="preserve"> and termination at</w:t>
      </w:r>
      <w:r>
        <w:t xml:space="preserve"> the Dead Sea.</w:t>
      </w:r>
    </w:p>
    <w:sectPr w:rsidR="009303D4" w:rsidSect="004C352E">
      <w:footerReference w:type="default" r:id="rId9"/>
      <w:pgSz w:w="12240" w:h="15840" w:code="1"/>
      <w:pgMar w:top="720" w:right="1440" w:bottom="85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605" w:rsidRDefault="00C64605" w:rsidP="004836F9">
      <w:r>
        <w:separator/>
      </w:r>
    </w:p>
  </w:endnote>
  <w:endnote w:type="continuationSeparator" w:id="0">
    <w:p w:rsidR="00C64605" w:rsidRDefault="00C64605" w:rsidP="004836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oster Bodoni">
    <w:altName w:val="Bookman Old Style"/>
    <w:charset w:val="00"/>
    <w:family w:val="roman"/>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embedBold r:id="rId1" w:subsetted="1" w:fontKey="{A38AF548-06E3-484D-83C4-81F6C0215E05}"/>
  </w:font>
  <w:font w:name="PCSB Greek">
    <w:panose1 w:val="020B0500000000000000"/>
    <w:charset w:val="00"/>
    <w:family w:val="swiss"/>
    <w:pitch w:val="variable"/>
    <w:sig w:usb0="00000003" w:usb1="00000000" w:usb2="00000000" w:usb3="00000000" w:csb0="00000001" w:csb1="00000000"/>
    <w:embedRegular r:id="rId2" w:subsetted="1" w:fontKey="{00494D64-8F0D-4837-9179-8D168B39A4C8}"/>
  </w:font>
  <w:font w:name="Newpor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embedBold r:id="rId3" w:subsetted="1" w:fontKey="{9BF82337-C5BC-487E-8698-E62031DB4293}"/>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790" w:rsidRDefault="00A757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23"/>
      <w:gridCol w:w="3163"/>
      <w:gridCol w:w="3190"/>
    </w:tblGrid>
    <w:tr w:rsidR="00A75790" w:rsidTr="00E46CF5">
      <w:tc>
        <w:tcPr>
          <w:tcW w:w="3223" w:type="dxa"/>
          <w:hideMark/>
        </w:tcPr>
        <w:p w:rsidR="00A75790" w:rsidRDefault="00A75790" w:rsidP="00E46CF5">
          <w:pPr>
            <w:pStyle w:val="Footer"/>
            <w:ind w:right="360"/>
          </w:pPr>
          <w:smartTag w:uri="urn:schemas-microsoft-com:office:smarttags" w:element="PersonName">
            <w:r>
              <w:rPr>
                <w:sz w:val="16"/>
                <w:szCs w:val="16"/>
              </w:rPr>
              <w:t>Chuck Bagby</w:t>
            </w:r>
          </w:smartTag>
          <w:r>
            <w:rPr>
              <w:sz w:val="16"/>
              <w:szCs w:val="16"/>
            </w:rPr>
            <w:t>, Ph.D.</w:t>
          </w:r>
        </w:p>
      </w:tc>
      <w:tc>
        <w:tcPr>
          <w:tcW w:w="3163" w:type="dxa"/>
          <w:hideMark/>
        </w:tcPr>
        <w:p w:rsidR="00A75790" w:rsidRDefault="00A75790" w:rsidP="00E46CF5">
          <w:pPr>
            <w:pStyle w:val="Footer"/>
            <w:jc w:val="center"/>
            <w:rPr>
              <w:b/>
            </w:rPr>
          </w:pPr>
          <w:r>
            <w:rPr>
              <w:b/>
              <w:sz w:val="16"/>
              <w:szCs w:val="16"/>
            </w:rPr>
            <w:t xml:space="preserve">Page </w:t>
          </w:r>
          <w:r w:rsidR="009A7B7B">
            <w:rPr>
              <w:b/>
              <w:sz w:val="16"/>
              <w:szCs w:val="16"/>
              <w:u w:val="single"/>
            </w:rPr>
            <w:fldChar w:fldCharType="begin"/>
          </w:r>
          <w:r>
            <w:rPr>
              <w:b/>
              <w:sz w:val="16"/>
              <w:szCs w:val="16"/>
              <w:u w:val="single"/>
            </w:rPr>
            <w:instrText xml:space="preserve"> PAGE </w:instrText>
          </w:r>
          <w:r w:rsidR="009A7B7B">
            <w:rPr>
              <w:b/>
              <w:sz w:val="16"/>
              <w:szCs w:val="16"/>
              <w:u w:val="single"/>
            </w:rPr>
            <w:fldChar w:fldCharType="separate"/>
          </w:r>
          <w:r w:rsidR="00C64605">
            <w:rPr>
              <w:b/>
              <w:noProof/>
              <w:sz w:val="16"/>
              <w:szCs w:val="16"/>
              <w:u w:val="single"/>
            </w:rPr>
            <w:t>1</w:t>
          </w:r>
          <w:r w:rsidR="009A7B7B">
            <w:rPr>
              <w:b/>
              <w:sz w:val="16"/>
              <w:szCs w:val="16"/>
              <w:u w:val="single"/>
            </w:rPr>
            <w:fldChar w:fldCharType="end"/>
          </w:r>
          <w:r>
            <w:rPr>
              <w:b/>
              <w:sz w:val="16"/>
              <w:szCs w:val="16"/>
            </w:rPr>
            <w:t xml:space="preserve"> of </w:t>
          </w:r>
          <w:r w:rsidR="009A7B7B">
            <w:rPr>
              <w:b/>
              <w:sz w:val="16"/>
              <w:szCs w:val="16"/>
            </w:rPr>
            <w:fldChar w:fldCharType="begin"/>
          </w:r>
          <w:r>
            <w:rPr>
              <w:b/>
              <w:sz w:val="16"/>
              <w:szCs w:val="16"/>
            </w:rPr>
            <w:instrText xml:space="preserve"> NUMPAGES </w:instrText>
          </w:r>
          <w:r w:rsidR="009A7B7B">
            <w:rPr>
              <w:b/>
              <w:sz w:val="16"/>
              <w:szCs w:val="16"/>
            </w:rPr>
            <w:fldChar w:fldCharType="separate"/>
          </w:r>
          <w:r w:rsidR="00C64605">
            <w:rPr>
              <w:b/>
              <w:noProof/>
              <w:sz w:val="16"/>
              <w:szCs w:val="16"/>
            </w:rPr>
            <w:t>1</w:t>
          </w:r>
          <w:r w:rsidR="009A7B7B">
            <w:rPr>
              <w:b/>
              <w:sz w:val="16"/>
              <w:szCs w:val="16"/>
            </w:rPr>
            <w:fldChar w:fldCharType="end"/>
          </w:r>
        </w:p>
      </w:tc>
      <w:tc>
        <w:tcPr>
          <w:tcW w:w="3190" w:type="dxa"/>
          <w:hideMark/>
        </w:tcPr>
        <w:p w:rsidR="00A75790" w:rsidRDefault="00A75790" w:rsidP="00FE209D">
          <w:pPr>
            <w:pStyle w:val="Footer"/>
            <w:jc w:val="right"/>
          </w:pPr>
          <w:r>
            <w:rPr>
              <w:sz w:val="16"/>
              <w:szCs w:val="16"/>
            </w:rPr>
            <w:t xml:space="preserve">Revision </w:t>
          </w:r>
          <w:r w:rsidR="00CD5FBD">
            <w:rPr>
              <w:sz w:val="16"/>
              <w:szCs w:val="16"/>
            </w:rPr>
            <w:t>140</w:t>
          </w:r>
          <w:r w:rsidR="00F33D91">
            <w:rPr>
              <w:sz w:val="16"/>
              <w:szCs w:val="16"/>
            </w:rPr>
            <w:t>821</w:t>
          </w:r>
          <w:r w:rsidR="00FE209D">
            <w:rPr>
              <w:sz w:val="16"/>
              <w:szCs w:val="16"/>
            </w:rPr>
            <w:t>a</w:t>
          </w:r>
        </w:p>
      </w:tc>
    </w:tr>
    <w:tr w:rsidR="00A75790" w:rsidTr="00E46CF5">
      <w:tc>
        <w:tcPr>
          <w:tcW w:w="9576" w:type="dxa"/>
          <w:gridSpan w:val="3"/>
          <w:hideMark/>
        </w:tcPr>
        <w:p w:rsidR="00A75790" w:rsidRDefault="00A75790" w:rsidP="00E46CF5">
          <w:pPr>
            <w:pStyle w:val="Footer"/>
            <w:spacing w:before="120"/>
            <w:jc w:val="center"/>
            <w:rPr>
              <w:rFonts w:ascii="Arial" w:hAnsi="Arial" w:cs="Arial"/>
              <w:sz w:val="16"/>
              <w:szCs w:val="16"/>
            </w:rPr>
          </w:pPr>
          <w:r>
            <w:rPr>
              <w:sz w:val="16"/>
              <w:szCs w:val="16"/>
            </w:rPr>
            <w:t>Copyright © 201</w:t>
          </w:r>
          <w:r w:rsidR="00CD5FBD">
            <w:rPr>
              <w:sz w:val="16"/>
              <w:szCs w:val="16"/>
            </w:rPr>
            <w:t>4</w:t>
          </w:r>
          <w:r>
            <w:rPr>
              <w:sz w:val="16"/>
              <w:szCs w:val="16"/>
            </w:rPr>
            <w:t xml:space="preserve"> by </w:t>
          </w:r>
          <w:r>
            <w:rPr>
              <w:rFonts w:ascii="Papyrus" w:hAnsi="Papyrus"/>
              <w:b/>
              <w:color w:val="FF0000"/>
              <w:sz w:val="18"/>
              <w:szCs w:val="18"/>
            </w:rPr>
            <w:t>Burning Heart Bible Studies</w:t>
          </w:r>
          <w:r>
            <w:rPr>
              <w:sz w:val="16"/>
              <w:szCs w:val="16"/>
            </w:rPr>
            <w:t>, a division of GCR Ventures, Inc.</w:t>
          </w:r>
        </w:p>
        <w:p w:rsidR="00A75790" w:rsidRDefault="009A7B7B" w:rsidP="00E46CF5">
          <w:pPr>
            <w:pStyle w:val="Footer"/>
            <w:jc w:val="center"/>
          </w:pPr>
          <w:hyperlink r:id="rId1" w:history="1">
            <w:r w:rsidR="00A75790">
              <w:rPr>
                <w:rStyle w:val="Hyperlink"/>
                <w:rFonts w:eastAsia="Arial Unicode MS"/>
                <w:sz w:val="16"/>
                <w:szCs w:val="16"/>
              </w:rPr>
              <w:t>www.burningheartbiblestudies.com</w:t>
            </w:r>
          </w:hyperlink>
        </w:p>
      </w:tc>
    </w:tr>
  </w:tbl>
  <w:p w:rsidR="00A75790" w:rsidRDefault="00A75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605" w:rsidRDefault="00C64605" w:rsidP="004836F9">
      <w:r>
        <w:separator/>
      </w:r>
    </w:p>
  </w:footnote>
  <w:footnote w:type="continuationSeparator" w:id="0">
    <w:p w:rsidR="00C64605" w:rsidRDefault="00C64605" w:rsidP="004836F9">
      <w:r>
        <w:continuationSeparator/>
      </w:r>
    </w:p>
  </w:footnote>
  <w:footnote w:id="1">
    <w:p w:rsidR="001576FC" w:rsidRDefault="001576FC">
      <w:pPr>
        <w:pStyle w:val="FootnoteText"/>
      </w:pPr>
      <w:r>
        <w:rPr>
          <w:rStyle w:val="FootnoteReference"/>
        </w:rPr>
        <w:footnoteRef/>
      </w:r>
      <w:r>
        <w:t xml:space="preserve"> </w:t>
      </w:r>
      <w:r>
        <w:rPr>
          <w:i/>
        </w:rPr>
        <w:t>S</w:t>
      </w:r>
      <w:r w:rsidRPr="00C87AF1">
        <w:rPr>
          <w:i/>
        </w:rPr>
        <w:t>unggenís</w:t>
      </w:r>
      <w:r w:rsidRPr="00C87AF1">
        <w:rPr>
          <w:rFonts w:ascii="PCSB Greek" w:hAnsi="PCSB Greek"/>
        </w:rPr>
        <w:t xml:space="preserve"> </w:t>
      </w:r>
      <w:r>
        <w:t>(s</w:t>
      </w:r>
      <w:r w:rsidRPr="00E01F78">
        <w:t>ü</w:t>
      </w:r>
      <w:r>
        <w:t>ng-g</w:t>
      </w:r>
      <w:r w:rsidRPr="00E01F78">
        <w:t>ĕ</w:t>
      </w:r>
      <w:r>
        <w:t>n-</w:t>
      </w:r>
      <w:r w:rsidRPr="00235B4C">
        <w:t>ĭ́</w:t>
      </w:r>
      <w:r>
        <w:t xml:space="preserve">s), </w:t>
      </w:r>
      <w:r w:rsidRPr="00C87AF1">
        <w:rPr>
          <w:rFonts w:ascii="PCSB Greek" w:hAnsi="PCSB Greek"/>
        </w:rPr>
        <w:t>suggeni/$))</w:t>
      </w:r>
    </w:p>
  </w:footnote>
  <w:footnote w:id="2">
    <w:p w:rsidR="004836F9" w:rsidRDefault="004836F9" w:rsidP="004836F9">
      <w:pPr>
        <w:pStyle w:val="FootnoteText"/>
        <w:spacing w:after="20"/>
        <w:ind w:left="180" w:hanging="180"/>
      </w:pPr>
      <w:r>
        <w:rPr>
          <w:rStyle w:val="FootnoteReference"/>
        </w:rPr>
        <w:footnoteRef/>
      </w:r>
      <w:r>
        <w:t xml:space="preserve"> </w:t>
      </w:r>
      <w:r w:rsidRPr="002E4256">
        <w:rPr>
          <w:i/>
        </w:rPr>
        <w:t>New Edition of the Babylonian Talmud</w:t>
      </w:r>
      <w:r>
        <w:t xml:space="preserve">, Volume 1, Translated by Michael Rodkinson, New Talmud Publishing Company, 100 Boylston St., Boston, MA, USA, (1896, p. 133, </w:t>
      </w:r>
      <w:r w:rsidRPr="00520C07">
        <w:t xml:space="preserve">Tract Aboth, </w:t>
      </w:r>
      <w:r w:rsidRPr="002B102E">
        <w:rPr>
          <w:rFonts w:eastAsia="Calibri"/>
          <w:iCs/>
          <w:szCs w:val="18"/>
        </w:rPr>
        <w:t>Tosephtha-Aboth of R. Nathan</w:t>
      </w:r>
      <w:r w:rsidRPr="00520C07">
        <w:rPr>
          <w:rFonts w:eastAsia="Calibri"/>
          <w:iCs/>
          <w:sz w:val="21"/>
          <w:szCs w:val="21"/>
        </w:rPr>
        <w:t>,</w:t>
      </w:r>
      <w:r w:rsidRPr="00520C07">
        <w:t xml:space="preserve"> Mishna EE</w:t>
      </w:r>
      <w:r>
        <w:t>)</w:t>
      </w:r>
    </w:p>
  </w:footnote>
  <w:footnote w:id="3">
    <w:p w:rsidR="006A4AD8" w:rsidRPr="00825944" w:rsidRDefault="006A4AD8" w:rsidP="006A4AD8">
      <w:pPr>
        <w:pStyle w:val="FootnoteText"/>
        <w:spacing w:after="20"/>
        <w:ind w:left="180" w:hanging="180"/>
      </w:pPr>
      <w:r>
        <w:rPr>
          <w:rStyle w:val="FootnoteReference"/>
        </w:rPr>
        <w:footnoteRef/>
      </w:r>
      <w:r w:rsidRPr="00825944">
        <w:t xml:space="preserve"> </w:t>
      </w:r>
      <w:r>
        <w:t>Matthew 13:55; Mark 6:3</w:t>
      </w:r>
    </w:p>
  </w:footnote>
  <w:footnote w:id="4">
    <w:p w:rsidR="006A4AD8" w:rsidRPr="000D63E6" w:rsidRDefault="006A4AD8" w:rsidP="006A4AD8">
      <w:pPr>
        <w:pStyle w:val="FootnoteText"/>
        <w:spacing w:after="20"/>
        <w:ind w:left="180" w:hanging="180"/>
      </w:pPr>
      <w:r>
        <w:rPr>
          <w:rStyle w:val="FootnoteReference"/>
        </w:rPr>
        <w:footnoteRef/>
      </w:r>
      <w:r w:rsidRPr="008802CF">
        <w:t xml:space="preserve"> Matthew 12:46-47; 13:55-56; </w:t>
      </w:r>
      <w:r>
        <w:t>Mark 3:31-32; Luke 8:19-20; John 7:3-5,10</w:t>
      </w:r>
    </w:p>
  </w:footnote>
  <w:footnote w:id="5">
    <w:p w:rsidR="0038445B" w:rsidRPr="00AB1E94" w:rsidRDefault="0038445B" w:rsidP="0038445B">
      <w:pPr>
        <w:pStyle w:val="FootnoteText"/>
        <w:spacing w:after="20"/>
        <w:ind w:left="180" w:hanging="180"/>
      </w:pPr>
      <w:r>
        <w:rPr>
          <w:rStyle w:val="FootnoteReference"/>
        </w:rPr>
        <w:footnoteRef/>
      </w:r>
      <w:r>
        <w:t xml:space="preserve"> </w:t>
      </w:r>
      <w:r w:rsidRPr="00046E6D">
        <w:rPr>
          <w:i/>
        </w:rPr>
        <w:t>Xulourg</w:t>
      </w:r>
      <w:r>
        <w:rPr>
          <w:i/>
        </w:rPr>
        <w:t>ó</w:t>
      </w:r>
      <w:r w:rsidRPr="00046E6D">
        <w:rPr>
          <w:i/>
        </w:rPr>
        <w:t>s</w:t>
      </w:r>
      <w:r>
        <w:t xml:space="preserve"> </w:t>
      </w:r>
      <w:r w:rsidRPr="00AB1E94">
        <w:rPr>
          <w:color w:val="000000"/>
        </w:rPr>
        <w:t>(z</w:t>
      </w:r>
      <w:r w:rsidRPr="00AB1E94">
        <w:t>ü</w:t>
      </w:r>
      <w:r w:rsidRPr="00AB1E94">
        <w:rPr>
          <w:color w:val="000000"/>
        </w:rPr>
        <w:t>-l</w:t>
      </w:r>
      <w:r w:rsidRPr="00AB1E94">
        <w:t>ŏü</w:t>
      </w:r>
      <w:r w:rsidRPr="00AB1E94">
        <w:rPr>
          <w:color w:val="000000"/>
        </w:rPr>
        <w:t>r-g</w:t>
      </w:r>
      <w:r w:rsidRPr="00AB1E94">
        <w:t>ŏ́</w:t>
      </w:r>
      <w:r w:rsidRPr="00AB1E94">
        <w:rPr>
          <w:color w:val="000000"/>
        </w:rPr>
        <w:t>s)</w:t>
      </w:r>
      <w:r>
        <w:rPr>
          <w:color w:val="000000"/>
        </w:rPr>
        <w:t>,</w:t>
      </w:r>
      <w:r w:rsidRPr="00AB1E94">
        <w:t xml:space="preserve"> </w:t>
      </w:r>
      <w:r w:rsidRPr="00AB1E94">
        <w:rPr>
          <w:rFonts w:ascii="PCSB Greek" w:hAnsi="PCSB Greek"/>
        </w:rPr>
        <w:t>cu/l</w:t>
      </w:r>
      <w:r w:rsidRPr="00AB1E94">
        <w:rPr>
          <w:rFonts w:ascii="PCSB Greek" w:hAnsi="PCSB Greek" w:cs="Newport"/>
        </w:rPr>
        <w:t xml:space="preserve">uorgov$ </w:t>
      </w:r>
    </w:p>
  </w:footnote>
  <w:footnote w:id="6">
    <w:p w:rsidR="0038445B" w:rsidRPr="00D97CCC" w:rsidRDefault="0038445B" w:rsidP="0038445B">
      <w:pPr>
        <w:pStyle w:val="FootnoteText"/>
        <w:spacing w:after="20"/>
        <w:ind w:left="180" w:hanging="180"/>
        <w:rPr>
          <w:lang w:val="es-ES"/>
        </w:rPr>
      </w:pPr>
      <w:r>
        <w:rPr>
          <w:rStyle w:val="FootnoteReference"/>
        </w:rPr>
        <w:footnoteRef/>
      </w:r>
      <w:r>
        <w:rPr>
          <w:lang w:val="es-ES"/>
        </w:rPr>
        <w:t xml:space="preserve"> </w:t>
      </w:r>
      <w:r w:rsidRPr="00A75A9E">
        <w:rPr>
          <w:i/>
          <w:lang w:val="es-ES"/>
        </w:rPr>
        <w:t>Téktonos</w:t>
      </w:r>
      <w:r w:rsidRPr="00A75A9E">
        <w:rPr>
          <w:lang w:val="es-ES"/>
        </w:rPr>
        <w:t xml:space="preserve"> </w:t>
      </w:r>
      <w:r w:rsidRPr="00D97CCC">
        <w:rPr>
          <w:lang w:val="es-ES"/>
        </w:rPr>
        <w:t>(tĕ́k-tŏn-ŏs)</w:t>
      </w:r>
      <w:r>
        <w:rPr>
          <w:lang w:val="es-ES"/>
        </w:rPr>
        <w:t>,</w:t>
      </w:r>
      <w:r w:rsidRPr="00D97CCC">
        <w:rPr>
          <w:lang w:val="es-ES"/>
        </w:rPr>
        <w:t xml:space="preserve"> </w:t>
      </w:r>
      <w:r w:rsidRPr="00D97CCC">
        <w:rPr>
          <w:rFonts w:ascii="PCSB Greek" w:hAnsi="PCSB Greek"/>
          <w:lang w:val="es-ES"/>
        </w:rPr>
        <w:t>te/ktono$</w:t>
      </w:r>
      <w:r>
        <w:rPr>
          <w:lang w:val="es-ES"/>
        </w:rPr>
        <w:t>; Matthew 13:55</w:t>
      </w:r>
    </w:p>
  </w:footnote>
  <w:footnote w:id="7">
    <w:p w:rsidR="0038445B" w:rsidRPr="00AA030F" w:rsidRDefault="0038445B" w:rsidP="0038445B">
      <w:pPr>
        <w:pStyle w:val="FootnoteText"/>
        <w:spacing w:after="20"/>
        <w:ind w:left="180" w:hanging="180"/>
      </w:pPr>
      <w:r>
        <w:rPr>
          <w:rStyle w:val="FootnoteReference"/>
        </w:rPr>
        <w:footnoteRef/>
      </w:r>
      <w:r w:rsidRPr="00AA030F">
        <w:t xml:space="preserve"> </w:t>
      </w:r>
      <w:r>
        <w:t>The Greek genitive grammatical case denotes</w:t>
      </w:r>
      <w:r>
        <w:rPr>
          <w:rStyle w:val="ssens"/>
        </w:rPr>
        <w:t xml:space="preserve"> possession</w:t>
      </w:r>
      <w:r w:rsidRPr="00AA030F">
        <w:rPr>
          <w:rStyle w:val="ssens"/>
        </w:rPr>
        <w:t xml:space="preserve"> or a relation </w:t>
      </w:r>
      <w:r>
        <w:rPr>
          <w:rStyle w:val="ssens"/>
        </w:rPr>
        <w:t xml:space="preserve">similar to possession as in “the son </w:t>
      </w:r>
      <w:r w:rsidRPr="002E00A5">
        <w:rPr>
          <w:rStyle w:val="ssens"/>
          <w:b/>
          <w:i/>
        </w:rPr>
        <w:t>of</w:t>
      </w:r>
      <w:r w:rsidRPr="00170245">
        <w:rPr>
          <w:rStyle w:val="ssens"/>
          <w:i/>
        </w:rPr>
        <w:t xml:space="preserve"> </w:t>
      </w:r>
      <w:r>
        <w:rPr>
          <w:rStyle w:val="ssens"/>
        </w:rPr>
        <w:t>the craftsman” (Matthew 13:55 B</w:t>
      </w:r>
      <w:r w:rsidR="002B7E78">
        <w:rPr>
          <w:rStyle w:val="ssens"/>
        </w:rPr>
        <w:t xml:space="preserve">agby </w:t>
      </w:r>
      <w:r>
        <w:rPr>
          <w:rStyle w:val="ssens"/>
        </w:rPr>
        <w:t>T</w:t>
      </w:r>
      <w:r w:rsidR="00FA278E">
        <w:rPr>
          <w:rStyle w:val="ssens"/>
        </w:rPr>
        <w:t>ra</w:t>
      </w:r>
      <w:r w:rsidR="002B7E78">
        <w:rPr>
          <w:rStyle w:val="ssens"/>
        </w:rPr>
        <w:t>nslation</w:t>
      </w:r>
      <w:r>
        <w:rPr>
          <w:rStyle w:val="ssens"/>
        </w:rPr>
        <w:t>).</w:t>
      </w:r>
    </w:p>
  </w:footnote>
  <w:footnote w:id="8">
    <w:p w:rsidR="0038445B" w:rsidRPr="00712EEB" w:rsidRDefault="0038445B" w:rsidP="0038445B">
      <w:pPr>
        <w:pStyle w:val="FootnoteText"/>
        <w:spacing w:after="20"/>
        <w:ind w:left="180" w:hanging="180"/>
      </w:pPr>
      <w:r>
        <w:rPr>
          <w:rStyle w:val="FootnoteReference"/>
        </w:rPr>
        <w:footnoteRef/>
      </w:r>
      <w:r>
        <w:t xml:space="preserve"> </w:t>
      </w:r>
      <w:r>
        <w:rPr>
          <w:i/>
        </w:rPr>
        <w:t>Ték</w:t>
      </w:r>
      <w:r w:rsidRPr="00046E6D">
        <w:rPr>
          <w:i/>
        </w:rPr>
        <w:t>ton</w:t>
      </w:r>
      <w:r>
        <w:t xml:space="preserve"> </w:t>
      </w:r>
      <w:r w:rsidRPr="00712EEB">
        <w:t>(tĕ́k-tōn)</w:t>
      </w:r>
      <w:r>
        <w:t>,</w:t>
      </w:r>
      <w:r w:rsidRPr="00712EEB">
        <w:t xml:space="preserve"> </w:t>
      </w:r>
      <w:r w:rsidRPr="00712EEB">
        <w:rPr>
          <w:rFonts w:ascii="PCSB Greek" w:hAnsi="PCSB Greek"/>
        </w:rPr>
        <w:t>te/ktwn</w:t>
      </w:r>
      <w:r w:rsidRPr="00712EEB">
        <w:t xml:space="preserve"> </w:t>
      </w:r>
    </w:p>
  </w:footnote>
  <w:footnote w:id="9">
    <w:p w:rsidR="0038445B" w:rsidRPr="00712EEB" w:rsidRDefault="0038445B" w:rsidP="0038445B">
      <w:pPr>
        <w:pStyle w:val="FootnoteText"/>
        <w:spacing w:after="20"/>
        <w:ind w:left="180" w:hanging="180"/>
      </w:pPr>
      <w:r>
        <w:rPr>
          <w:rStyle w:val="FootnoteReference"/>
        </w:rPr>
        <w:footnoteRef/>
      </w:r>
      <w:r w:rsidRPr="00712EEB">
        <w:t xml:space="preserve"> </w:t>
      </w:r>
      <w:r>
        <w:t xml:space="preserve">“Is this not the </w:t>
      </w:r>
      <w:r w:rsidRPr="00712EEB">
        <w:rPr>
          <w:i/>
        </w:rPr>
        <w:t>craftsman</w:t>
      </w:r>
      <w:r w:rsidR="002B7E78">
        <w:t>” (Mark 6:3 Bagby Translation</w:t>
      </w:r>
      <w:r>
        <w:t>).</w:t>
      </w:r>
    </w:p>
  </w:footnote>
  <w:footnote w:id="10">
    <w:p w:rsidR="0038445B" w:rsidRDefault="0038445B" w:rsidP="0038445B">
      <w:pPr>
        <w:pStyle w:val="FootnoteText"/>
        <w:spacing w:after="20"/>
        <w:ind w:left="180" w:hanging="180"/>
      </w:pPr>
      <w:r>
        <w:rPr>
          <w:rStyle w:val="FootnoteReference"/>
        </w:rPr>
        <w:footnoteRef/>
      </w:r>
      <w:r>
        <w:t xml:space="preserve"> Acts 19:24</w:t>
      </w:r>
    </w:p>
  </w:footnote>
  <w:footnote w:id="11">
    <w:p w:rsidR="0038445B" w:rsidRDefault="0038445B" w:rsidP="0038445B">
      <w:pPr>
        <w:pStyle w:val="FootnoteText"/>
        <w:spacing w:after="20"/>
        <w:ind w:left="180" w:hanging="180"/>
      </w:pPr>
      <w:r>
        <w:rPr>
          <w:rStyle w:val="FootnoteReference"/>
        </w:rPr>
        <w:footnoteRef/>
      </w:r>
      <w:r>
        <w:t xml:space="preserve"> </w:t>
      </w:r>
      <w:r>
        <w:rPr>
          <w:i/>
        </w:rPr>
        <w:t>Tekní</w:t>
      </w:r>
      <w:r w:rsidRPr="003F7E65">
        <w:rPr>
          <w:i/>
        </w:rPr>
        <w:t>tais</w:t>
      </w:r>
      <w:r>
        <w:rPr>
          <w:i/>
        </w:rPr>
        <w:t xml:space="preserve"> </w:t>
      </w:r>
      <w:r w:rsidRPr="00A75A9E">
        <w:t>(t</w:t>
      </w:r>
      <w:r w:rsidRPr="0080060D">
        <w:t>ĕ</w:t>
      </w:r>
      <w:r w:rsidRPr="00A75A9E">
        <w:t>k-n</w:t>
      </w:r>
      <w:r w:rsidRPr="0080060D">
        <w:t>ĭ́</w:t>
      </w:r>
      <w:r>
        <w:t>-</w:t>
      </w:r>
      <w:r w:rsidRPr="00A75A9E">
        <w:t>t</w:t>
      </w:r>
      <w:r w:rsidRPr="0080060D">
        <w:t>äĭ</w:t>
      </w:r>
      <w:r w:rsidRPr="00A75A9E">
        <w:t xml:space="preserve">s), </w:t>
      </w:r>
      <w:r w:rsidRPr="00377009">
        <w:rPr>
          <w:rFonts w:ascii="PCSB Greek" w:hAnsi="PCSB Greek"/>
        </w:rPr>
        <w:t>texni/tai$</w:t>
      </w:r>
    </w:p>
  </w:footnote>
  <w:footnote w:id="12">
    <w:p w:rsidR="0038445B" w:rsidRDefault="0038445B" w:rsidP="0038445B">
      <w:pPr>
        <w:pStyle w:val="FootnoteText"/>
        <w:spacing w:after="20"/>
        <w:ind w:left="180" w:hanging="180"/>
      </w:pPr>
      <w:r>
        <w:rPr>
          <w:rStyle w:val="FootnoteReference"/>
        </w:rPr>
        <w:footnoteRef/>
      </w:r>
      <w:r>
        <w:t xml:space="preserve"> </w:t>
      </w:r>
      <w:r>
        <w:rPr>
          <w:i/>
        </w:rPr>
        <w:t>T</w:t>
      </w:r>
      <w:r w:rsidRPr="009B5FA2">
        <w:rPr>
          <w:i/>
        </w:rPr>
        <w:t>ekn</w:t>
      </w:r>
      <w:r>
        <w:rPr>
          <w:i/>
        </w:rPr>
        <w:t>í</w:t>
      </w:r>
      <w:r w:rsidRPr="009B5FA2">
        <w:rPr>
          <w:i/>
        </w:rPr>
        <w:t>t</w:t>
      </w:r>
      <w:r>
        <w:rPr>
          <w:i/>
        </w:rPr>
        <w:t>e</w:t>
      </w:r>
      <w:r w:rsidRPr="009B5FA2">
        <w:rPr>
          <w:i/>
        </w:rPr>
        <w:t>s</w:t>
      </w:r>
      <w:r>
        <w:t xml:space="preserve"> </w:t>
      </w:r>
      <w:r w:rsidRPr="00A75A9E">
        <w:t>(t</w:t>
      </w:r>
      <w:r w:rsidRPr="00450638">
        <w:t>ĕ</w:t>
      </w:r>
      <w:r w:rsidRPr="00A75A9E">
        <w:t>k-n</w:t>
      </w:r>
      <w:r w:rsidRPr="00450638">
        <w:t>ĭ́-</w:t>
      </w:r>
      <w:r w:rsidRPr="00A75A9E">
        <w:t>t</w:t>
      </w:r>
      <w:r w:rsidRPr="0080060D">
        <w:t>ā</w:t>
      </w:r>
      <w:r w:rsidRPr="00A75A9E">
        <w:t xml:space="preserve">s), </w:t>
      </w:r>
      <w:r w:rsidRPr="001D785E">
        <w:rPr>
          <w:rFonts w:ascii="PCSB Greek" w:hAnsi="PCSB Greek"/>
        </w:rPr>
        <w:t>texni/th$</w:t>
      </w:r>
    </w:p>
  </w:footnote>
  <w:footnote w:id="13">
    <w:p w:rsidR="0038445B" w:rsidRPr="00B45FF3" w:rsidRDefault="0038445B" w:rsidP="0038445B">
      <w:pPr>
        <w:pStyle w:val="FootnoteText"/>
        <w:spacing w:after="20"/>
        <w:ind w:left="180" w:hanging="180"/>
      </w:pPr>
      <w:r>
        <w:rPr>
          <w:rStyle w:val="FootnoteReference"/>
        </w:rPr>
        <w:footnoteRef/>
      </w:r>
      <w:r w:rsidRPr="00B45FF3">
        <w:t xml:space="preserve"> </w:t>
      </w:r>
      <w:r>
        <w:t>Mark 13:1-2; Luke 21:5-6</w:t>
      </w:r>
    </w:p>
  </w:footnote>
  <w:footnote w:id="14">
    <w:p w:rsidR="0038445B" w:rsidRPr="00567D3E" w:rsidRDefault="0038445B" w:rsidP="0038445B">
      <w:pPr>
        <w:pStyle w:val="FootnoteText"/>
        <w:spacing w:after="20"/>
        <w:ind w:left="180" w:hanging="180"/>
      </w:pPr>
      <w:r>
        <w:rPr>
          <w:rStyle w:val="FootnoteReference"/>
        </w:rPr>
        <w:footnoteRef/>
      </w:r>
      <w:r w:rsidRPr="00567D3E">
        <w:t xml:space="preserve"> </w:t>
      </w:r>
      <w:r>
        <w:t>Luke 19:43-44</w:t>
      </w:r>
    </w:p>
  </w:footnote>
  <w:footnote w:id="15">
    <w:p w:rsidR="0038445B" w:rsidRPr="00680946" w:rsidRDefault="0038445B" w:rsidP="0038445B">
      <w:pPr>
        <w:pStyle w:val="FootnoteText"/>
        <w:spacing w:after="20"/>
        <w:ind w:left="180" w:hanging="180"/>
      </w:pPr>
      <w:r w:rsidRPr="00680946">
        <w:rPr>
          <w:rStyle w:val="FootnoteReference"/>
        </w:rPr>
        <w:footnoteRef/>
      </w:r>
      <w:r w:rsidRPr="00680946">
        <w:t xml:space="preserve"> 1 Peter 2:4-5</w:t>
      </w:r>
    </w:p>
  </w:footnote>
  <w:footnote w:id="16">
    <w:p w:rsidR="0038445B" w:rsidRPr="00680946" w:rsidRDefault="0038445B" w:rsidP="0038445B">
      <w:pPr>
        <w:pStyle w:val="FootnoteText"/>
        <w:spacing w:after="20"/>
        <w:ind w:left="180" w:hanging="180"/>
      </w:pPr>
      <w:r w:rsidRPr="00680946">
        <w:rPr>
          <w:rStyle w:val="FootnoteReference"/>
        </w:rPr>
        <w:footnoteRef/>
      </w:r>
      <w:r>
        <w:t xml:space="preserve"> Luke 2:7,12,16; Ancient </w:t>
      </w:r>
      <w:r w:rsidRPr="00680946">
        <w:t xml:space="preserve">writers </w:t>
      </w:r>
      <w:r>
        <w:t>of English, 14</w:t>
      </w:r>
      <w:r w:rsidRPr="00D35EA7">
        <w:rPr>
          <w:vertAlign w:val="superscript"/>
        </w:rPr>
        <w:t>th</w:t>
      </w:r>
      <w:r>
        <w:t xml:space="preserve"> century A.D. and later, </w:t>
      </w:r>
      <w:r w:rsidRPr="00680946">
        <w:t>referred to an animal trough as a manger. For additional information regarding the animal troughs of ancient Israel</w:t>
      </w:r>
      <w:r>
        <w:t xml:space="preserve">, see </w:t>
      </w:r>
      <w:r w:rsidRPr="003F4FB4">
        <w:rPr>
          <w:i/>
        </w:rPr>
        <w:t>Chapter 5 – The Magi Meet Jesus, King of the Jews</w:t>
      </w:r>
      <w:r>
        <w:t xml:space="preserve">, heading </w:t>
      </w:r>
      <w:r w:rsidRPr="003F4FB4">
        <w:rPr>
          <w:i/>
        </w:rPr>
        <w:t>The Star Stood above Where the Child Was (Matthew 2:9)</w:t>
      </w:r>
      <w:r>
        <w:t>.</w:t>
      </w:r>
    </w:p>
  </w:footnote>
  <w:footnote w:id="17">
    <w:p w:rsidR="0038445B" w:rsidRPr="00680946" w:rsidRDefault="0038445B" w:rsidP="0038445B">
      <w:pPr>
        <w:pStyle w:val="FootnoteText"/>
        <w:spacing w:after="20"/>
        <w:ind w:left="180" w:hanging="180"/>
      </w:pPr>
      <w:r w:rsidRPr="00680946">
        <w:rPr>
          <w:rStyle w:val="FootnoteReference"/>
        </w:rPr>
        <w:footnoteRef/>
      </w:r>
      <w:r w:rsidRPr="00680946">
        <w:t xml:space="preserve"> John 2:6</w:t>
      </w:r>
    </w:p>
  </w:footnote>
  <w:footnote w:id="18">
    <w:p w:rsidR="0038445B" w:rsidRPr="00680946" w:rsidRDefault="0038445B" w:rsidP="0038445B">
      <w:pPr>
        <w:pStyle w:val="FootnoteText"/>
        <w:spacing w:after="20"/>
        <w:ind w:left="180" w:hanging="180"/>
      </w:pPr>
      <w:r w:rsidRPr="00680946">
        <w:rPr>
          <w:rStyle w:val="FootnoteReference"/>
        </w:rPr>
        <w:footnoteRef/>
      </w:r>
      <w:r w:rsidRPr="00680946">
        <w:t xml:space="preserve"> Matthew 18:6; Mark 9:42; Luke 17:2</w:t>
      </w:r>
    </w:p>
  </w:footnote>
  <w:footnote w:id="19">
    <w:p w:rsidR="0038445B" w:rsidRPr="00680946" w:rsidRDefault="0038445B" w:rsidP="0038445B">
      <w:pPr>
        <w:pStyle w:val="FootnoteText"/>
        <w:spacing w:after="20"/>
        <w:ind w:left="180" w:hanging="180"/>
      </w:pPr>
      <w:r w:rsidRPr="00680946">
        <w:rPr>
          <w:rStyle w:val="FootnoteReference"/>
        </w:rPr>
        <w:footnoteRef/>
      </w:r>
      <w:r w:rsidRPr="00680946">
        <w:t xml:space="preserve"> Matthew 27:60</w:t>
      </w:r>
    </w:p>
  </w:footnote>
  <w:footnote w:id="20">
    <w:p w:rsidR="0038445B" w:rsidRDefault="0038445B" w:rsidP="0038445B">
      <w:pPr>
        <w:pStyle w:val="FootnoteText"/>
        <w:ind w:left="180" w:hanging="180"/>
      </w:pPr>
      <w:r>
        <w:rPr>
          <w:rStyle w:val="FootnoteReference"/>
        </w:rPr>
        <w:footnoteRef/>
      </w:r>
      <w:r>
        <w:t xml:space="preserve"> Joseph did not make a living as a wealthy craftsman. For more information regarding his financial resources, see </w:t>
      </w:r>
      <w:r w:rsidRPr="00131771">
        <w:rPr>
          <w:i/>
        </w:rPr>
        <w:t>Chapter 4 – The Magi Meet Herod, King of Judea</w:t>
      </w:r>
      <w:r>
        <w:t xml:space="preserve">, heading </w:t>
      </w:r>
      <w:r w:rsidRPr="00131771">
        <w:rPr>
          <w:i/>
        </w:rPr>
        <w:t>His Star (Matthew 2:2)</w:t>
      </w:r>
      <w:r>
        <w:t xml:space="preserve">, subheading </w:t>
      </w:r>
      <w:r w:rsidRPr="00131771">
        <w:rPr>
          <w:i/>
        </w:rPr>
        <w:t>When Did the Magi Arrive in Bethlehem?</w:t>
      </w:r>
      <w:r>
        <w:t xml:space="preserve">, subheading </w:t>
      </w:r>
      <w:r w:rsidRPr="00131771">
        <w:rPr>
          <w:i/>
        </w:rPr>
        <w:t>Six-Week Time-Period</w:t>
      </w:r>
      <w:r>
        <w:t>.</w:t>
      </w:r>
    </w:p>
  </w:footnote>
  <w:footnote w:id="21">
    <w:p w:rsidR="00913BD3" w:rsidRPr="00DF668E" w:rsidRDefault="00913BD3" w:rsidP="00913BD3">
      <w:pPr>
        <w:pStyle w:val="FootnoteText"/>
        <w:spacing w:after="20"/>
        <w:ind w:left="180" w:hanging="180"/>
      </w:pPr>
      <w:r>
        <w:rPr>
          <w:rStyle w:val="FootnoteReference"/>
        </w:rPr>
        <w:footnoteRef/>
      </w:r>
      <w:r w:rsidRPr="002119AE">
        <w:t xml:space="preserve"> Song of Solomon 3:6-11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9407B"/>
    <w:multiLevelType w:val="hybridMultilevel"/>
    <w:tmpl w:val="FCDAE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CCB5DB9"/>
    <w:multiLevelType w:val="hybridMultilevel"/>
    <w:tmpl w:val="82ECF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9303D4"/>
    <w:rsid w:val="00004742"/>
    <w:rsid w:val="000119B6"/>
    <w:rsid w:val="00022CB0"/>
    <w:rsid w:val="000326A4"/>
    <w:rsid w:val="00034E0F"/>
    <w:rsid w:val="000351CF"/>
    <w:rsid w:val="00044426"/>
    <w:rsid w:val="00054017"/>
    <w:rsid w:val="00065D75"/>
    <w:rsid w:val="00080516"/>
    <w:rsid w:val="000972EF"/>
    <w:rsid w:val="00097CFD"/>
    <w:rsid w:val="000D2DD6"/>
    <w:rsid w:val="000E4228"/>
    <w:rsid w:val="000E4EE3"/>
    <w:rsid w:val="000E71E2"/>
    <w:rsid w:val="001576FC"/>
    <w:rsid w:val="00161B67"/>
    <w:rsid w:val="00162C9F"/>
    <w:rsid w:val="00163028"/>
    <w:rsid w:val="001C7062"/>
    <w:rsid w:val="001D21AD"/>
    <w:rsid w:val="00220324"/>
    <w:rsid w:val="0024499C"/>
    <w:rsid w:val="002468F9"/>
    <w:rsid w:val="00266348"/>
    <w:rsid w:val="002714D5"/>
    <w:rsid w:val="00287A9A"/>
    <w:rsid w:val="002A5B36"/>
    <w:rsid w:val="002B44AF"/>
    <w:rsid w:val="002B7E78"/>
    <w:rsid w:val="002E024F"/>
    <w:rsid w:val="003151E3"/>
    <w:rsid w:val="00315C17"/>
    <w:rsid w:val="00326690"/>
    <w:rsid w:val="00335012"/>
    <w:rsid w:val="0035661B"/>
    <w:rsid w:val="00376931"/>
    <w:rsid w:val="003816C0"/>
    <w:rsid w:val="00383C35"/>
    <w:rsid w:val="0038445B"/>
    <w:rsid w:val="003D0E73"/>
    <w:rsid w:val="003D5C79"/>
    <w:rsid w:val="003E4B00"/>
    <w:rsid w:val="004045FE"/>
    <w:rsid w:val="00410000"/>
    <w:rsid w:val="00411745"/>
    <w:rsid w:val="00415FB0"/>
    <w:rsid w:val="00436CDA"/>
    <w:rsid w:val="004436E2"/>
    <w:rsid w:val="0046469F"/>
    <w:rsid w:val="004710A2"/>
    <w:rsid w:val="004752A9"/>
    <w:rsid w:val="004836F9"/>
    <w:rsid w:val="00483E4A"/>
    <w:rsid w:val="004A09DB"/>
    <w:rsid w:val="004A26B9"/>
    <w:rsid w:val="004C352E"/>
    <w:rsid w:val="004E4D16"/>
    <w:rsid w:val="004E4F04"/>
    <w:rsid w:val="0051479E"/>
    <w:rsid w:val="00516FB3"/>
    <w:rsid w:val="00537CB5"/>
    <w:rsid w:val="00553163"/>
    <w:rsid w:val="0055381A"/>
    <w:rsid w:val="00573C22"/>
    <w:rsid w:val="005808F9"/>
    <w:rsid w:val="005918AC"/>
    <w:rsid w:val="005A7BF2"/>
    <w:rsid w:val="005D016A"/>
    <w:rsid w:val="005D6A1C"/>
    <w:rsid w:val="00605BC7"/>
    <w:rsid w:val="00621FDD"/>
    <w:rsid w:val="00651B9F"/>
    <w:rsid w:val="006679A8"/>
    <w:rsid w:val="00683768"/>
    <w:rsid w:val="006903C2"/>
    <w:rsid w:val="0069143B"/>
    <w:rsid w:val="006A4AD8"/>
    <w:rsid w:val="006C266E"/>
    <w:rsid w:val="006C72E2"/>
    <w:rsid w:val="006D3997"/>
    <w:rsid w:val="006D6FFE"/>
    <w:rsid w:val="006E4CDC"/>
    <w:rsid w:val="006E7B98"/>
    <w:rsid w:val="006F288E"/>
    <w:rsid w:val="00724509"/>
    <w:rsid w:val="00753EA5"/>
    <w:rsid w:val="00757112"/>
    <w:rsid w:val="00773C83"/>
    <w:rsid w:val="00793B8A"/>
    <w:rsid w:val="007A3872"/>
    <w:rsid w:val="007C2FBC"/>
    <w:rsid w:val="007C5164"/>
    <w:rsid w:val="007F61B9"/>
    <w:rsid w:val="00815B9E"/>
    <w:rsid w:val="00816D3C"/>
    <w:rsid w:val="0082057B"/>
    <w:rsid w:val="0084087A"/>
    <w:rsid w:val="00847CD5"/>
    <w:rsid w:val="008522EC"/>
    <w:rsid w:val="00856596"/>
    <w:rsid w:val="0085776A"/>
    <w:rsid w:val="00865BD9"/>
    <w:rsid w:val="00885998"/>
    <w:rsid w:val="008D0278"/>
    <w:rsid w:val="008D49B9"/>
    <w:rsid w:val="008F0978"/>
    <w:rsid w:val="00902F5A"/>
    <w:rsid w:val="009070C7"/>
    <w:rsid w:val="00913BD3"/>
    <w:rsid w:val="009303D4"/>
    <w:rsid w:val="00950A7B"/>
    <w:rsid w:val="00961AD9"/>
    <w:rsid w:val="009635B0"/>
    <w:rsid w:val="00965BB1"/>
    <w:rsid w:val="00980EBE"/>
    <w:rsid w:val="00984E6E"/>
    <w:rsid w:val="00993BA6"/>
    <w:rsid w:val="009A3F19"/>
    <w:rsid w:val="009A7B7B"/>
    <w:rsid w:val="009B0B3F"/>
    <w:rsid w:val="009B5E18"/>
    <w:rsid w:val="009C324D"/>
    <w:rsid w:val="009F696D"/>
    <w:rsid w:val="00A305A0"/>
    <w:rsid w:val="00A32043"/>
    <w:rsid w:val="00A47F46"/>
    <w:rsid w:val="00A70B0B"/>
    <w:rsid w:val="00A75790"/>
    <w:rsid w:val="00A86BBC"/>
    <w:rsid w:val="00AA4497"/>
    <w:rsid w:val="00AB0D1C"/>
    <w:rsid w:val="00AD6204"/>
    <w:rsid w:val="00AE1FC3"/>
    <w:rsid w:val="00AF5E19"/>
    <w:rsid w:val="00B0599E"/>
    <w:rsid w:val="00B174C4"/>
    <w:rsid w:val="00B25CF2"/>
    <w:rsid w:val="00B46305"/>
    <w:rsid w:val="00B56FF1"/>
    <w:rsid w:val="00B67B9F"/>
    <w:rsid w:val="00BA5FA8"/>
    <w:rsid w:val="00BD67A4"/>
    <w:rsid w:val="00C011AD"/>
    <w:rsid w:val="00C01663"/>
    <w:rsid w:val="00C0633F"/>
    <w:rsid w:val="00C114EA"/>
    <w:rsid w:val="00C11972"/>
    <w:rsid w:val="00C50CD0"/>
    <w:rsid w:val="00C56CEA"/>
    <w:rsid w:val="00C64605"/>
    <w:rsid w:val="00C87AF1"/>
    <w:rsid w:val="00C939BC"/>
    <w:rsid w:val="00C96964"/>
    <w:rsid w:val="00CA4698"/>
    <w:rsid w:val="00CB2F51"/>
    <w:rsid w:val="00CC0532"/>
    <w:rsid w:val="00CD4715"/>
    <w:rsid w:val="00CD5FBD"/>
    <w:rsid w:val="00CF586D"/>
    <w:rsid w:val="00D03554"/>
    <w:rsid w:val="00D30654"/>
    <w:rsid w:val="00D3407F"/>
    <w:rsid w:val="00D60939"/>
    <w:rsid w:val="00D61349"/>
    <w:rsid w:val="00D626A9"/>
    <w:rsid w:val="00D725AC"/>
    <w:rsid w:val="00D737C8"/>
    <w:rsid w:val="00D87DA9"/>
    <w:rsid w:val="00D91CD9"/>
    <w:rsid w:val="00D978A3"/>
    <w:rsid w:val="00DB358B"/>
    <w:rsid w:val="00DD36F0"/>
    <w:rsid w:val="00DE5723"/>
    <w:rsid w:val="00DF30F7"/>
    <w:rsid w:val="00E013E2"/>
    <w:rsid w:val="00E53130"/>
    <w:rsid w:val="00E85D2A"/>
    <w:rsid w:val="00EC451C"/>
    <w:rsid w:val="00EC75B0"/>
    <w:rsid w:val="00ED4ED8"/>
    <w:rsid w:val="00EE768F"/>
    <w:rsid w:val="00EF5F1B"/>
    <w:rsid w:val="00F00B4F"/>
    <w:rsid w:val="00F031E7"/>
    <w:rsid w:val="00F2703A"/>
    <w:rsid w:val="00F327EE"/>
    <w:rsid w:val="00F33D91"/>
    <w:rsid w:val="00F34F99"/>
    <w:rsid w:val="00F40AF8"/>
    <w:rsid w:val="00F40E33"/>
    <w:rsid w:val="00F43179"/>
    <w:rsid w:val="00F43D53"/>
    <w:rsid w:val="00F45D02"/>
    <w:rsid w:val="00F5154A"/>
    <w:rsid w:val="00F56751"/>
    <w:rsid w:val="00F72903"/>
    <w:rsid w:val="00F948DA"/>
    <w:rsid w:val="00FA278E"/>
    <w:rsid w:val="00FD0251"/>
    <w:rsid w:val="00FE209D"/>
    <w:rsid w:val="00FE7788"/>
    <w:rsid w:val="00FF245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83"/>
    <w:rPr>
      <w:sz w:val="24"/>
      <w:szCs w:val="24"/>
    </w:rPr>
  </w:style>
  <w:style w:type="paragraph" w:styleId="Heading1">
    <w:name w:val="heading 1"/>
    <w:basedOn w:val="Heading2"/>
    <w:next w:val="Normal"/>
    <w:link w:val="Heading1Char"/>
    <w:qFormat/>
    <w:rsid w:val="00AE1FC3"/>
    <w:pPr>
      <w:spacing w:before="480"/>
      <w:outlineLvl w:val="0"/>
    </w:pPr>
    <w:rPr>
      <w:bCs w:val="0"/>
      <w:color w:val="365F91" w:themeColor="accent1" w:themeShade="BF"/>
      <w:sz w:val="28"/>
      <w:szCs w:val="28"/>
    </w:rPr>
  </w:style>
  <w:style w:type="paragraph" w:styleId="Heading2">
    <w:name w:val="heading 2"/>
    <w:basedOn w:val="Normal"/>
    <w:next w:val="Normal"/>
    <w:link w:val="Heading2Char"/>
    <w:semiHidden/>
    <w:unhideWhenUsed/>
    <w:qFormat/>
    <w:rsid w:val="00AE1F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E1F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E1F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E1F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E1F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E1F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E1FC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E1FC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1F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E1F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E1FC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E1FC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AE1FC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AE1FC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E1FC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AE1F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E1FC3"/>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rsid w:val="00AE1FC3"/>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AE1FC3"/>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rsid w:val="00AE1FC3"/>
    <w:pPr>
      <w:ind w:left="480"/>
    </w:pPr>
    <w:rPr>
      <w:rFonts w:asciiTheme="minorHAnsi" w:hAnsiTheme="minorHAnsi" w:cstheme="minorHAnsi"/>
      <w:sz w:val="20"/>
      <w:szCs w:val="20"/>
    </w:rPr>
  </w:style>
  <w:style w:type="paragraph" w:styleId="Caption">
    <w:name w:val="caption"/>
    <w:basedOn w:val="Normal"/>
    <w:next w:val="Normal"/>
    <w:semiHidden/>
    <w:unhideWhenUsed/>
    <w:qFormat/>
    <w:rsid w:val="00AE1FC3"/>
    <w:pPr>
      <w:spacing w:after="200"/>
    </w:pPr>
    <w:rPr>
      <w:b/>
      <w:bCs/>
      <w:color w:val="4F81BD" w:themeColor="accent1"/>
      <w:sz w:val="18"/>
      <w:szCs w:val="18"/>
    </w:rPr>
  </w:style>
  <w:style w:type="paragraph" w:styleId="Title">
    <w:name w:val="Title"/>
    <w:basedOn w:val="Normal"/>
    <w:link w:val="TitleChar"/>
    <w:qFormat/>
    <w:rsid w:val="00773C83"/>
    <w:pPr>
      <w:suppressAutoHyphens/>
      <w:spacing w:after="120"/>
      <w:jc w:val="center"/>
    </w:pPr>
    <w:rPr>
      <w:rFonts w:ascii="Poster Bodoni" w:hAnsi="Poster Bodoni"/>
      <w:color w:val="000080"/>
      <w:sz w:val="72"/>
      <w:szCs w:val="20"/>
    </w:rPr>
  </w:style>
  <w:style w:type="character" w:customStyle="1" w:styleId="TitleChar">
    <w:name w:val="Title Char"/>
    <w:basedOn w:val="DefaultParagraphFont"/>
    <w:link w:val="Title"/>
    <w:rsid w:val="00AE1FC3"/>
    <w:rPr>
      <w:rFonts w:ascii="Poster Bodoni" w:hAnsi="Poster Bodoni"/>
      <w:color w:val="000080"/>
      <w:sz w:val="72"/>
    </w:rPr>
  </w:style>
  <w:style w:type="character" w:styleId="Strong">
    <w:name w:val="Strong"/>
    <w:basedOn w:val="DefaultParagraphFont"/>
    <w:qFormat/>
    <w:rsid w:val="00AE1FC3"/>
    <w:rPr>
      <w:b/>
      <w:bCs/>
    </w:rPr>
  </w:style>
  <w:style w:type="character" w:styleId="Emphasis">
    <w:name w:val="Emphasis"/>
    <w:basedOn w:val="DefaultParagraphFont"/>
    <w:qFormat/>
    <w:rsid w:val="00AE1FC3"/>
    <w:rPr>
      <w:i/>
      <w:iCs/>
    </w:rPr>
  </w:style>
  <w:style w:type="paragraph" w:styleId="ListParagraph">
    <w:name w:val="List Paragraph"/>
    <w:basedOn w:val="Normal"/>
    <w:uiPriority w:val="34"/>
    <w:qFormat/>
    <w:rsid w:val="00AE1FC3"/>
    <w:pPr>
      <w:ind w:left="720"/>
      <w:contextualSpacing/>
    </w:pPr>
  </w:style>
  <w:style w:type="paragraph" w:styleId="TOCHeading">
    <w:name w:val="TOC Heading"/>
    <w:basedOn w:val="Heading1"/>
    <w:next w:val="Normal"/>
    <w:uiPriority w:val="39"/>
    <w:semiHidden/>
    <w:unhideWhenUsed/>
    <w:qFormat/>
    <w:rsid w:val="00AE1FC3"/>
    <w:pPr>
      <w:outlineLvl w:val="9"/>
    </w:pPr>
    <w:rPr>
      <w:bCs/>
    </w:rPr>
  </w:style>
  <w:style w:type="table" w:styleId="TableGrid">
    <w:name w:val="Table Grid"/>
    <w:basedOn w:val="TableNormal"/>
    <w:rsid w:val="000D2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4836F9"/>
    <w:rPr>
      <w:vertAlign w:val="superscript"/>
    </w:rPr>
  </w:style>
  <w:style w:type="paragraph" w:styleId="FootnoteText">
    <w:name w:val="footnote text"/>
    <w:basedOn w:val="Normal"/>
    <w:link w:val="FootnoteTextChar"/>
    <w:rsid w:val="004836F9"/>
    <w:pPr>
      <w:keepLines/>
      <w:spacing w:line="200" w:lineRule="atLeast"/>
      <w:ind w:left="187" w:hanging="187"/>
    </w:pPr>
    <w:rPr>
      <w:rFonts w:ascii="Arial Narrow" w:hAnsi="Arial Narrow"/>
      <w:sz w:val="18"/>
    </w:rPr>
  </w:style>
  <w:style w:type="character" w:customStyle="1" w:styleId="FootnoteTextChar">
    <w:name w:val="Footnote Text Char"/>
    <w:basedOn w:val="DefaultParagraphFont"/>
    <w:link w:val="FootnoteText"/>
    <w:rsid w:val="004836F9"/>
    <w:rPr>
      <w:rFonts w:ascii="Arial Narrow" w:hAnsi="Arial Narrow"/>
      <w:sz w:val="18"/>
      <w:szCs w:val="24"/>
    </w:rPr>
  </w:style>
  <w:style w:type="character" w:customStyle="1" w:styleId="ssens">
    <w:name w:val="ssens"/>
    <w:basedOn w:val="DefaultParagraphFont"/>
    <w:rsid w:val="0038445B"/>
  </w:style>
  <w:style w:type="character" w:styleId="Hyperlink">
    <w:name w:val="Hyperlink"/>
    <w:basedOn w:val="DefaultParagraphFont"/>
    <w:uiPriority w:val="99"/>
    <w:unhideWhenUsed/>
    <w:rsid w:val="0051479E"/>
    <w:rPr>
      <w:color w:val="0000FF" w:themeColor="hyperlink"/>
      <w:u w:val="single"/>
    </w:rPr>
  </w:style>
  <w:style w:type="paragraph" w:styleId="Header">
    <w:name w:val="header"/>
    <w:basedOn w:val="Normal"/>
    <w:link w:val="HeaderChar"/>
    <w:uiPriority w:val="99"/>
    <w:semiHidden/>
    <w:unhideWhenUsed/>
    <w:rsid w:val="00F00B4F"/>
    <w:pPr>
      <w:tabs>
        <w:tab w:val="center" w:pos="4680"/>
        <w:tab w:val="right" w:pos="9360"/>
      </w:tabs>
    </w:pPr>
  </w:style>
  <w:style w:type="character" w:customStyle="1" w:styleId="HeaderChar">
    <w:name w:val="Header Char"/>
    <w:basedOn w:val="DefaultParagraphFont"/>
    <w:link w:val="Header"/>
    <w:uiPriority w:val="99"/>
    <w:semiHidden/>
    <w:rsid w:val="00F00B4F"/>
    <w:rPr>
      <w:sz w:val="24"/>
      <w:szCs w:val="24"/>
    </w:rPr>
  </w:style>
  <w:style w:type="paragraph" w:styleId="Footer">
    <w:name w:val="footer"/>
    <w:basedOn w:val="Normal"/>
    <w:link w:val="FooterChar"/>
    <w:unhideWhenUsed/>
    <w:rsid w:val="00F00B4F"/>
    <w:pPr>
      <w:tabs>
        <w:tab w:val="center" w:pos="4680"/>
        <w:tab w:val="right" w:pos="9360"/>
      </w:tabs>
    </w:pPr>
  </w:style>
  <w:style w:type="character" w:customStyle="1" w:styleId="FooterChar">
    <w:name w:val="Footer Char"/>
    <w:basedOn w:val="DefaultParagraphFont"/>
    <w:link w:val="Footer"/>
    <w:rsid w:val="00F00B4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ningHeartBibleStudi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hyperlink" Target="http://www.burningheartbiblestud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3D998-974A-434D-ACEB-C83E08A3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1119</Words>
  <Characters>6379</Characters>
  <Application>Microsoft Office Word</Application>
  <DocSecurity>0</DocSecurity>
  <Lines>53</Lines>
  <Paragraphs>14</Paragraphs>
  <ScaleCrop>false</ScaleCrop>
  <Company>Hewlett-Packard</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BAGBY</dc:creator>
  <cp:lastModifiedBy>BAGBY</cp:lastModifiedBy>
  <cp:revision>8</cp:revision>
  <cp:lastPrinted>2014-08-21T23:18:00Z</cp:lastPrinted>
  <dcterms:created xsi:type="dcterms:W3CDTF">2014-08-21T23:03:00Z</dcterms:created>
  <dcterms:modified xsi:type="dcterms:W3CDTF">2014-08-21T23:46:00Z</dcterms:modified>
</cp:coreProperties>
</file>